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EBD" w:rsidRDefault="00390EBD" w:rsidP="007E13B0"/>
    <w:p w:rsidR="0079639F" w:rsidRPr="00431EEB" w:rsidRDefault="0079639F" w:rsidP="00431EEB">
      <w:pPr>
        <w:jc w:val="center"/>
        <w:rPr>
          <w:b/>
          <w:sz w:val="36"/>
        </w:rPr>
      </w:pPr>
      <w:r w:rsidRPr="00431EEB">
        <w:rPr>
          <w:b/>
          <w:sz w:val="36"/>
        </w:rPr>
        <w:t>BỘ TÀI CHÍNH</w:t>
      </w:r>
    </w:p>
    <w:p w:rsidR="0079639F" w:rsidRPr="00431EEB" w:rsidRDefault="0079639F" w:rsidP="00431EEB">
      <w:pPr>
        <w:jc w:val="center"/>
        <w:rPr>
          <w:b/>
          <w:sz w:val="36"/>
        </w:rPr>
      </w:pPr>
      <w:r w:rsidRPr="00431EEB">
        <w:rPr>
          <w:b/>
          <w:sz w:val="36"/>
        </w:rPr>
        <w:t>VỤ NGÂN SÁCH NHÀ NƯỚC</w:t>
      </w:r>
    </w:p>
    <w:p w:rsidR="0079639F" w:rsidRPr="00431EEB" w:rsidRDefault="00C176EA" w:rsidP="00431EEB">
      <w:pPr>
        <w:jc w:val="center"/>
        <w:rPr>
          <w:b/>
          <w:sz w:val="36"/>
        </w:rPr>
      </w:pPr>
      <w:r w:rsidRPr="00C176EA">
        <w:rPr>
          <w:b/>
          <w:noProof/>
          <w:sz w:val="36"/>
        </w:rPr>
        <w:pict>
          <v:shapetype id="_x0000_t32" coordsize="21600,21600" o:spt="32" o:oned="t" path="m,l21600,21600e" filled="f">
            <v:path arrowok="t" fillok="f" o:connecttype="none"/>
            <o:lock v:ext="edit" shapetype="t"/>
          </v:shapetype>
          <v:shape id="_x0000_s1027" type="#_x0000_t32" style="position:absolute;left:0;text-align:left;margin-left:165.4pt;margin-top:1.5pt;width:124.1pt;height:0;z-index:251658240" o:connectortype="straight"/>
        </w:pict>
      </w:r>
    </w:p>
    <w:p w:rsidR="0079639F" w:rsidRPr="00431EEB" w:rsidRDefault="0079639F" w:rsidP="00431EEB">
      <w:pPr>
        <w:jc w:val="center"/>
        <w:rPr>
          <w:b/>
          <w:sz w:val="36"/>
        </w:rPr>
      </w:pPr>
    </w:p>
    <w:p w:rsidR="0079639F" w:rsidRPr="00431EEB" w:rsidRDefault="0079639F" w:rsidP="00431EEB">
      <w:pPr>
        <w:jc w:val="center"/>
        <w:rPr>
          <w:b/>
          <w:sz w:val="36"/>
        </w:rPr>
      </w:pPr>
    </w:p>
    <w:p w:rsidR="003A0973" w:rsidRPr="00431EEB" w:rsidRDefault="003A0973" w:rsidP="00431EEB">
      <w:pPr>
        <w:jc w:val="center"/>
        <w:rPr>
          <w:b/>
          <w:sz w:val="36"/>
        </w:rPr>
      </w:pPr>
    </w:p>
    <w:p w:rsidR="0079639F" w:rsidRPr="00431EEB" w:rsidRDefault="0079639F" w:rsidP="00431EEB">
      <w:pPr>
        <w:jc w:val="center"/>
        <w:rPr>
          <w:b/>
          <w:sz w:val="36"/>
        </w:rPr>
      </w:pPr>
    </w:p>
    <w:p w:rsidR="00E02968" w:rsidRPr="00431EEB" w:rsidRDefault="00B34D5C" w:rsidP="00431EEB">
      <w:pPr>
        <w:jc w:val="center"/>
        <w:rPr>
          <w:b/>
          <w:sz w:val="36"/>
        </w:rPr>
      </w:pPr>
      <w:r w:rsidRPr="00431EEB">
        <w:rPr>
          <w:b/>
          <w:sz w:val="36"/>
        </w:rPr>
        <w:t>BÁO CÁO</w:t>
      </w:r>
    </w:p>
    <w:p w:rsidR="004D4096" w:rsidRDefault="004D4096" w:rsidP="00096DF5">
      <w:pPr>
        <w:spacing w:after="0"/>
        <w:jc w:val="center"/>
        <w:rPr>
          <w:b/>
          <w:sz w:val="40"/>
          <w:vertAlign w:val="subscript"/>
        </w:rPr>
      </w:pPr>
      <w:r>
        <w:rPr>
          <w:b/>
          <w:sz w:val="40"/>
          <w:vertAlign w:val="subscript"/>
        </w:rPr>
        <w:t xml:space="preserve">TÌNH HÌNH </w:t>
      </w:r>
      <w:r w:rsidR="0079639F" w:rsidRPr="00096DF5">
        <w:rPr>
          <w:b/>
          <w:sz w:val="40"/>
          <w:vertAlign w:val="subscript"/>
        </w:rPr>
        <w:t>QUẢN LÝ NỢ</w:t>
      </w:r>
      <w:r>
        <w:rPr>
          <w:b/>
          <w:sz w:val="40"/>
          <w:vertAlign w:val="subscript"/>
        </w:rPr>
        <w:t xml:space="preserve"> VÀ GIÁM SÁT</w:t>
      </w:r>
    </w:p>
    <w:p w:rsidR="00E52DA2" w:rsidRPr="00096DF5" w:rsidRDefault="0079639F" w:rsidP="00096DF5">
      <w:pPr>
        <w:spacing w:after="0"/>
        <w:jc w:val="center"/>
        <w:rPr>
          <w:b/>
          <w:sz w:val="40"/>
          <w:vertAlign w:val="subscript"/>
        </w:rPr>
      </w:pPr>
      <w:r w:rsidRPr="00096DF5">
        <w:rPr>
          <w:b/>
          <w:sz w:val="40"/>
          <w:vertAlign w:val="subscript"/>
        </w:rPr>
        <w:t>RỦ</w:t>
      </w:r>
      <w:r w:rsidR="007372DD" w:rsidRPr="00096DF5">
        <w:rPr>
          <w:b/>
          <w:sz w:val="40"/>
          <w:vertAlign w:val="subscript"/>
        </w:rPr>
        <w:t>I R</w:t>
      </w:r>
      <w:r w:rsidRPr="00096DF5">
        <w:rPr>
          <w:b/>
          <w:sz w:val="40"/>
          <w:vertAlign w:val="subscript"/>
        </w:rPr>
        <w:t>O TÀI KHÓA</w:t>
      </w:r>
      <w:r w:rsidR="004D4096">
        <w:rPr>
          <w:b/>
          <w:sz w:val="40"/>
          <w:vertAlign w:val="subscript"/>
        </w:rPr>
        <w:t xml:space="preserve"> ĐỊA</w:t>
      </w:r>
      <w:r w:rsidRPr="00096DF5">
        <w:rPr>
          <w:b/>
          <w:sz w:val="40"/>
          <w:vertAlign w:val="subscript"/>
        </w:rPr>
        <w:t xml:space="preserve"> PHƯƠNG</w:t>
      </w:r>
    </w:p>
    <w:p w:rsidR="00841E34" w:rsidRPr="00096DF5" w:rsidRDefault="0079639F" w:rsidP="00096DF5">
      <w:pPr>
        <w:spacing w:after="0"/>
        <w:jc w:val="center"/>
        <w:rPr>
          <w:b/>
          <w:sz w:val="40"/>
          <w:vertAlign w:val="subscript"/>
        </w:rPr>
      </w:pPr>
      <w:r w:rsidRPr="00096DF5">
        <w:rPr>
          <w:b/>
          <w:sz w:val="40"/>
          <w:vertAlign w:val="subscript"/>
        </w:rPr>
        <w:t>GIAI ĐOẠ</w:t>
      </w:r>
      <w:r w:rsidR="00575F31" w:rsidRPr="00096DF5">
        <w:rPr>
          <w:b/>
          <w:sz w:val="40"/>
          <w:vertAlign w:val="subscript"/>
        </w:rPr>
        <w:t xml:space="preserve">N </w:t>
      </w:r>
      <w:r w:rsidR="0026450F" w:rsidRPr="00096DF5">
        <w:rPr>
          <w:b/>
          <w:sz w:val="40"/>
          <w:vertAlign w:val="subscript"/>
        </w:rPr>
        <w:t>2016 - 2020</w:t>
      </w:r>
      <w:r w:rsidR="00575F31" w:rsidRPr="00096DF5">
        <w:rPr>
          <w:b/>
          <w:sz w:val="40"/>
          <w:vertAlign w:val="subscript"/>
        </w:rPr>
        <w:t xml:space="preserve"> VÀ</w:t>
      </w:r>
      <w:r w:rsidR="0077216E">
        <w:rPr>
          <w:b/>
          <w:sz w:val="40"/>
          <w:vertAlign w:val="subscript"/>
        </w:rPr>
        <w:t xml:space="preserve"> NĂM</w:t>
      </w:r>
      <w:r w:rsidR="00575F31" w:rsidRPr="00096DF5">
        <w:rPr>
          <w:b/>
          <w:sz w:val="40"/>
          <w:vertAlign w:val="subscript"/>
        </w:rPr>
        <w:t xml:space="preserve"> </w:t>
      </w:r>
      <w:r w:rsidR="0026450F" w:rsidRPr="00096DF5">
        <w:rPr>
          <w:b/>
          <w:sz w:val="40"/>
          <w:vertAlign w:val="subscript"/>
        </w:rPr>
        <w:t>202</w:t>
      </w:r>
      <w:r w:rsidR="005B5DC3" w:rsidRPr="00096DF5">
        <w:rPr>
          <w:b/>
          <w:sz w:val="40"/>
          <w:vertAlign w:val="subscript"/>
        </w:rPr>
        <w:t>1</w:t>
      </w:r>
      <w:r w:rsidR="0026450F" w:rsidRPr="00096DF5">
        <w:rPr>
          <w:b/>
          <w:sz w:val="40"/>
          <w:vertAlign w:val="subscript"/>
        </w:rPr>
        <w:t xml:space="preserve"> - 2022</w:t>
      </w:r>
    </w:p>
    <w:p w:rsidR="00841E34" w:rsidRPr="00431EEB" w:rsidRDefault="00841E34" w:rsidP="00431EEB">
      <w:pPr>
        <w:jc w:val="center"/>
        <w:rPr>
          <w:b/>
          <w:sz w:val="36"/>
          <w:vertAlign w:val="subscript"/>
        </w:rPr>
      </w:pPr>
    </w:p>
    <w:p w:rsidR="0079639F" w:rsidRPr="00431EEB" w:rsidRDefault="0079639F" w:rsidP="00431EEB">
      <w:pPr>
        <w:jc w:val="center"/>
        <w:rPr>
          <w:b/>
          <w:sz w:val="36"/>
        </w:rPr>
      </w:pPr>
    </w:p>
    <w:p w:rsidR="0079639F" w:rsidRPr="00431EEB" w:rsidRDefault="0079639F" w:rsidP="00431EEB">
      <w:pPr>
        <w:jc w:val="center"/>
        <w:rPr>
          <w:b/>
          <w:sz w:val="36"/>
        </w:rPr>
      </w:pPr>
    </w:p>
    <w:p w:rsidR="0079639F" w:rsidRPr="00431EEB" w:rsidRDefault="0079639F" w:rsidP="00431EEB">
      <w:pPr>
        <w:jc w:val="center"/>
        <w:rPr>
          <w:b/>
          <w:sz w:val="36"/>
        </w:rPr>
      </w:pPr>
    </w:p>
    <w:p w:rsidR="0079639F" w:rsidRPr="00431EEB" w:rsidRDefault="0079639F" w:rsidP="00431EEB">
      <w:pPr>
        <w:jc w:val="center"/>
        <w:rPr>
          <w:b/>
          <w:sz w:val="36"/>
        </w:rPr>
      </w:pPr>
    </w:p>
    <w:p w:rsidR="00E52DA2" w:rsidRPr="00431EEB" w:rsidRDefault="00E52DA2" w:rsidP="00431EEB">
      <w:pPr>
        <w:jc w:val="center"/>
        <w:rPr>
          <w:b/>
          <w:sz w:val="36"/>
        </w:rPr>
      </w:pPr>
    </w:p>
    <w:p w:rsidR="00E52DA2" w:rsidRPr="00431EEB" w:rsidRDefault="00E52DA2" w:rsidP="00431EEB">
      <w:pPr>
        <w:jc w:val="center"/>
        <w:rPr>
          <w:b/>
          <w:sz w:val="36"/>
        </w:rPr>
      </w:pPr>
    </w:p>
    <w:p w:rsidR="00094BD0" w:rsidRPr="00431EEB" w:rsidRDefault="00094BD0" w:rsidP="00431EEB">
      <w:pPr>
        <w:jc w:val="center"/>
        <w:rPr>
          <w:b/>
          <w:sz w:val="36"/>
        </w:rPr>
      </w:pPr>
    </w:p>
    <w:p w:rsidR="0079639F" w:rsidRPr="00431EEB" w:rsidRDefault="0079639F" w:rsidP="00431EEB">
      <w:pPr>
        <w:jc w:val="center"/>
        <w:rPr>
          <w:b/>
          <w:sz w:val="36"/>
        </w:rPr>
      </w:pPr>
    </w:p>
    <w:p w:rsidR="0079639F" w:rsidRPr="00431EEB" w:rsidRDefault="0079639F" w:rsidP="00431EEB">
      <w:pPr>
        <w:jc w:val="center"/>
        <w:rPr>
          <w:b/>
          <w:sz w:val="36"/>
        </w:rPr>
      </w:pPr>
      <w:r w:rsidRPr="00431EEB">
        <w:rPr>
          <w:b/>
          <w:sz w:val="36"/>
        </w:rPr>
        <w:t>Năm 202</w:t>
      </w:r>
      <w:r w:rsidR="00575F31" w:rsidRPr="00431EEB">
        <w:rPr>
          <w:b/>
          <w:sz w:val="36"/>
        </w:rPr>
        <w:t>1</w:t>
      </w:r>
    </w:p>
    <w:p w:rsidR="00D835BD" w:rsidRDefault="00D835BD" w:rsidP="007E13B0">
      <w:pPr>
        <w:pStyle w:val="TOCHeading"/>
        <w:sectPr w:rsidR="00D835BD" w:rsidSect="00224BAF">
          <w:headerReference w:type="default" r:id="rId8"/>
          <w:footerReference w:type="default" r:id="rId9"/>
          <w:pgSz w:w="11907" w:h="16840" w:code="9"/>
          <w:pgMar w:top="1077" w:right="1021" w:bottom="1021" w:left="1588"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pgNumType w:start="1" w:chapStyle="1"/>
          <w:cols w:space="720"/>
          <w:titlePg/>
          <w:docGrid w:linePitch="360"/>
        </w:sectPr>
      </w:pPr>
      <w:bookmarkStart w:id="0" w:name="_GoBack"/>
      <w:bookmarkStart w:id="1" w:name="_Toc53064579"/>
      <w:bookmarkEnd w:id="0"/>
    </w:p>
    <w:p w:rsidR="00624041" w:rsidRDefault="00624041" w:rsidP="00737296">
      <w:pPr>
        <w:pStyle w:val="TOC1"/>
      </w:pPr>
      <w:bookmarkStart w:id="2" w:name="_Toc62657703"/>
      <w:r w:rsidRPr="00624041">
        <w:lastRenderedPageBreak/>
        <w:t>PHỤ LỤC</w:t>
      </w:r>
    </w:p>
    <w:p w:rsidR="009F6D6A" w:rsidRPr="00737296" w:rsidRDefault="00C176EA" w:rsidP="00737296">
      <w:pPr>
        <w:pStyle w:val="TOC1"/>
        <w:rPr>
          <w:rFonts w:asciiTheme="minorHAnsi" w:eastAsiaTheme="minorEastAsia" w:hAnsiTheme="minorHAnsi" w:cstheme="minorBidi"/>
          <w:sz w:val="26"/>
          <w:lang w:val="vi-VN" w:eastAsia="vi-VN"/>
        </w:rPr>
      </w:pPr>
      <w:r w:rsidRPr="00C176EA">
        <w:rPr>
          <w:sz w:val="28"/>
        </w:rPr>
        <w:fldChar w:fldCharType="begin"/>
      </w:r>
      <w:r w:rsidR="008252CB">
        <w:instrText xml:space="preserve"> TOC \h \z \t "Heading 1,2,Heading 2,3,Title,1" </w:instrText>
      </w:r>
      <w:r w:rsidRPr="00C176EA">
        <w:rPr>
          <w:sz w:val="28"/>
        </w:rPr>
        <w:fldChar w:fldCharType="separate"/>
      </w:r>
      <w:hyperlink w:anchor="_Toc87619909" w:history="1">
        <w:r w:rsidR="009F6D6A" w:rsidRPr="00737296">
          <w:rPr>
            <w:rStyle w:val="Hyperlink"/>
            <w:sz w:val="26"/>
            <w:szCs w:val="26"/>
          </w:rPr>
          <w:t>Phần I</w:t>
        </w:r>
      </w:hyperlink>
      <w:r w:rsidR="005752DB" w:rsidRPr="00737296">
        <w:rPr>
          <w:rStyle w:val="Hyperlink"/>
          <w:sz w:val="26"/>
          <w:szCs w:val="26"/>
          <w:u w:val="none"/>
        </w:rPr>
        <w:t xml:space="preserve">: </w:t>
      </w:r>
      <w:hyperlink w:anchor="_Toc87619910" w:history="1">
        <w:r w:rsidR="009F6D6A" w:rsidRPr="00737296">
          <w:rPr>
            <w:rStyle w:val="Hyperlink"/>
            <w:sz w:val="26"/>
            <w:szCs w:val="26"/>
          </w:rPr>
          <w:t>ĐÁNH GIÁ CÔNG TÁC QUẢN LÝ NỢ VÀ GIÁM SÁT RỦI RO TÀI KHÓA NGÂN SÁCH ĐỊA PHƯƠNG GIAI ĐOẠN 2016 - 2020</w:t>
        </w:r>
        <w:r w:rsidR="009F6D6A" w:rsidRPr="00737296">
          <w:rPr>
            <w:webHidden/>
            <w:sz w:val="26"/>
          </w:rPr>
          <w:tab/>
        </w:r>
        <w:r w:rsidRPr="00737296">
          <w:rPr>
            <w:webHidden/>
            <w:sz w:val="26"/>
          </w:rPr>
          <w:fldChar w:fldCharType="begin"/>
        </w:r>
        <w:r w:rsidR="009F6D6A" w:rsidRPr="00737296">
          <w:rPr>
            <w:webHidden/>
            <w:sz w:val="26"/>
          </w:rPr>
          <w:instrText xml:space="preserve"> PAGEREF _Toc87619910 \h </w:instrText>
        </w:r>
        <w:r w:rsidRPr="00737296">
          <w:rPr>
            <w:webHidden/>
            <w:sz w:val="26"/>
          </w:rPr>
        </w:r>
        <w:r w:rsidRPr="00737296">
          <w:rPr>
            <w:webHidden/>
            <w:sz w:val="26"/>
          </w:rPr>
          <w:fldChar w:fldCharType="separate"/>
        </w:r>
        <w:r w:rsidR="00280322">
          <w:rPr>
            <w:webHidden/>
            <w:sz w:val="26"/>
          </w:rPr>
          <w:t>2</w:t>
        </w:r>
        <w:r w:rsidRPr="00737296">
          <w:rPr>
            <w:webHidden/>
            <w:sz w:val="26"/>
          </w:rPr>
          <w:fldChar w:fldCharType="end"/>
        </w:r>
      </w:hyperlink>
    </w:p>
    <w:p w:rsidR="009F6D6A" w:rsidRPr="00737296" w:rsidRDefault="00C176EA" w:rsidP="00737296">
      <w:pPr>
        <w:pStyle w:val="TOC2"/>
        <w:rPr>
          <w:rFonts w:asciiTheme="minorHAnsi" w:eastAsiaTheme="minorEastAsia" w:hAnsiTheme="minorHAnsi" w:cstheme="minorBidi"/>
          <w:sz w:val="20"/>
          <w:szCs w:val="22"/>
          <w:lang w:val="vi-VN" w:eastAsia="vi-VN"/>
        </w:rPr>
      </w:pPr>
      <w:hyperlink w:anchor="_Toc87619911" w:history="1">
        <w:r w:rsidR="009F6D6A" w:rsidRPr="00737296">
          <w:rPr>
            <w:rStyle w:val="Hyperlink"/>
          </w:rPr>
          <w:t>I. THỰC TRẠNG PHÁT TRIỂN KINH TẾ - XÃ HỘI GIAI ĐOẠN 2016 – 2020</w:t>
        </w:r>
        <w:r w:rsidR="009F6D6A" w:rsidRPr="00737296">
          <w:rPr>
            <w:webHidden/>
          </w:rPr>
          <w:tab/>
        </w:r>
        <w:r w:rsidRPr="00737296">
          <w:rPr>
            <w:webHidden/>
          </w:rPr>
          <w:fldChar w:fldCharType="begin"/>
        </w:r>
        <w:r w:rsidR="009F6D6A" w:rsidRPr="00737296">
          <w:rPr>
            <w:webHidden/>
          </w:rPr>
          <w:instrText xml:space="preserve"> PAGEREF _Toc87619911 \h </w:instrText>
        </w:r>
        <w:r w:rsidRPr="00737296">
          <w:rPr>
            <w:webHidden/>
          </w:rPr>
        </w:r>
        <w:r w:rsidRPr="00737296">
          <w:rPr>
            <w:webHidden/>
          </w:rPr>
          <w:fldChar w:fldCharType="separate"/>
        </w:r>
        <w:r w:rsidR="00280322">
          <w:rPr>
            <w:webHidden/>
          </w:rPr>
          <w:t>2</w:t>
        </w:r>
        <w:r w:rsidRPr="00737296">
          <w:rPr>
            <w:webHidden/>
          </w:rPr>
          <w:fldChar w:fldCharType="end"/>
        </w:r>
      </w:hyperlink>
    </w:p>
    <w:p w:rsidR="009F6D6A" w:rsidRDefault="00C176EA" w:rsidP="00737296">
      <w:pPr>
        <w:pStyle w:val="TOC3"/>
        <w:tabs>
          <w:tab w:val="right" w:leader="underscore" w:pos="9288"/>
        </w:tabs>
        <w:spacing w:after="60"/>
        <w:ind w:left="0" w:firstLine="0"/>
        <w:rPr>
          <w:rFonts w:asciiTheme="minorHAnsi" w:eastAsiaTheme="minorEastAsia" w:hAnsiTheme="minorHAnsi" w:cstheme="minorBidi"/>
          <w:noProof/>
          <w:sz w:val="22"/>
          <w:szCs w:val="22"/>
          <w:lang w:val="vi-VN" w:eastAsia="vi-VN"/>
        </w:rPr>
      </w:pPr>
      <w:hyperlink w:anchor="_Toc87619912" w:history="1">
        <w:r w:rsidR="009F6D6A" w:rsidRPr="00287508">
          <w:rPr>
            <w:rStyle w:val="Hyperlink"/>
            <w:noProof/>
          </w:rPr>
          <w:t>1. Tổng quan phát triển kinh tế - xã hội</w:t>
        </w:r>
        <w:r w:rsidR="009F6D6A">
          <w:rPr>
            <w:noProof/>
            <w:webHidden/>
          </w:rPr>
          <w:tab/>
        </w:r>
        <w:r>
          <w:rPr>
            <w:noProof/>
            <w:webHidden/>
          </w:rPr>
          <w:fldChar w:fldCharType="begin"/>
        </w:r>
        <w:r w:rsidR="009F6D6A">
          <w:rPr>
            <w:noProof/>
            <w:webHidden/>
          </w:rPr>
          <w:instrText xml:space="preserve"> PAGEREF _Toc87619912 \h </w:instrText>
        </w:r>
        <w:r>
          <w:rPr>
            <w:noProof/>
            <w:webHidden/>
          </w:rPr>
        </w:r>
        <w:r>
          <w:rPr>
            <w:noProof/>
            <w:webHidden/>
          </w:rPr>
          <w:fldChar w:fldCharType="separate"/>
        </w:r>
        <w:r w:rsidR="00280322">
          <w:rPr>
            <w:noProof/>
            <w:webHidden/>
          </w:rPr>
          <w:t>2</w:t>
        </w:r>
        <w:r>
          <w:rPr>
            <w:noProof/>
            <w:webHidden/>
          </w:rPr>
          <w:fldChar w:fldCharType="end"/>
        </w:r>
      </w:hyperlink>
    </w:p>
    <w:p w:rsidR="009F6D6A" w:rsidRDefault="00C176EA" w:rsidP="00737296">
      <w:pPr>
        <w:pStyle w:val="TOC3"/>
        <w:tabs>
          <w:tab w:val="right" w:leader="underscore" w:pos="9288"/>
        </w:tabs>
        <w:spacing w:after="60"/>
        <w:ind w:left="0" w:firstLine="0"/>
        <w:rPr>
          <w:rFonts w:asciiTheme="minorHAnsi" w:eastAsiaTheme="minorEastAsia" w:hAnsiTheme="minorHAnsi" w:cstheme="minorBidi"/>
          <w:noProof/>
          <w:sz w:val="22"/>
          <w:szCs w:val="22"/>
          <w:lang w:val="vi-VN" w:eastAsia="vi-VN"/>
        </w:rPr>
      </w:pPr>
      <w:hyperlink w:anchor="_Toc87619913" w:history="1">
        <w:r w:rsidR="009F6D6A" w:rsidRPr="00287508">
          <w:rPr>
            <w:rStyle w:val="Hyperlink"/>
            <w:noProof/>
          </w:rPr>
          <w:t>2. Thực trạng phát triển kinh tế - xã hội giai đoạn 2016 - 2020</w:t>
        </w:r>
        <w:r w:rsidR="009F6D6A">
          <w:rPr>
            <w:noProof/>
            <w:webHidden/>
          </w:rPr>
          <w:tab/>
        </w:r>
        <w:r>
          <w:rPr>
            <w:noProof/>
            <w:webHidden/>
          </w:rPr>
          <w:fldChar w:fldCharType="begin"/>
        </w:r>
        <w:r w:rsidR="009F6D6A">
          <w:rPr>
            <w:noProof/>
            <w:webHidden/>
          </w:rPr>
          <w:instrText xml:space="preserve"> PAGEREF _Toc87619913 \h </w:instrText>
        </w:r>
        <w:r>
          <w:rPr>
            <w:noProof/>
            <w:webHidden/>
          </w:rPr>
        </w:r>
        <w:r>
          <w:rPr>
            <w:noProof/>
            <w:webHidden/>
          </w:rPr>
          <w:fldChar w:fldCharType="separate"/>
        </w:r>
        <w:r w:rsidR="00280322">
          <w:rPr>
            <w:noProof/>
            <w:webHidden/>
          </w:rPr>
          <w:t>2</w:t>
        </w:r>
        <w:r>
          <w:rPr>
            <w:noProof/>
            <w:webHidden/>
          </w:rPr>
          <w:fldChar w:fldCharType="end"/>
        </w:r>
      </w:hyperlink>
    </w:p>
    <w:p w:rsidR="009F6D6A" w:rsidRDefault="00C176EA" w:rsidP="00737296">
      <w:pPr>
        <w:pStyle w:val="TOC2"/>
        <w:rPr>
          <w:rFonts w:asciiTheme="minorHAnsi" w:eastAsiaTheme="minorEastAsia" w:hAnsiTheme="minorHAnsi" w:cstheme="minorBidi"/>
          <w:sz w:val="22"/>
          <w:szCs w:val="22"/>
          <w:lang w:val="vi-VN" w:eastAsia="vi-VN"/>
        </w:rPr>
      </w:pPr>
      <w:hyperlink w:anchor="_Toc87619914" w:history="1">
        <w:r w:rsidR="009F6D6A" w:rsidRPr="00287508">
          <w:rPr>
            <w:rStyle w:val="Hyperlink"/>
          </w:rPr>
          <w:t>II. THỰC TRẠNG CƠ CHẾ, CHÍNH SÁCH HUY ĐỘNG NGUỒN LỰC TÀI CHÍNH – NGÂN SÁCH NHÀ NƯỚC PHÁT TRIỂN KINH TẾ - XÃ HỘI ĐỊA PHƯƠNG GIAI ĐOẠN 2016 - 2020</w:t>
        </w:r>
        <w:r w:rsidR="009F6D6A">
          <w:rPr>
            <w:webHidden/>
          </w:rPr>
          <w:tab/>
        </w:r>
        <w:r>
          <w:rPr>
            <w:webHidden/>
          </w:rPr>
          <w:fldChar w:fldCharType="begin"/>
        </w:r>
        <w:r w:rsidR="009F6D6A">
          <w:rPr>
            <w:webHidden/>
          </w:rPr>
          <w:instrText xml:space="preserve"> PAGEREF _Toc87619914 \h </w:instrText>
        </w:r>
        <w:r>
          <w:rPr>
            <w:webHidden/>
          </w:rPr>
        </w:r>
        <w:r>
          <w:rPr>
            <w:webHidden/>
          </w:rPr>
          <w:fldChar w:fldCharType="separate"/>
        </w:r>
        <w:r w:rsidR="00280322">
          <w:rPr>
            <w:webHidden/>
          </w:rPr>
          <w:t>4</w:t>
        </w:r>
        <w:r>
          <w:rPr>
            <w:webHidden/>
          </w:rPr>
          <w:fldChar w:fldCharType="end"/>
        </w:r>
      </w:hyperlink>
    </w:p>
    <w:p w:rsidR="009F6D6A" w:rsidRDefault="00C176EA" w:rsidP="00737296">
      <w:pPr>
        <w:pStyle w:val="TOC3"/>
        <w:tabs>
          <w:tab w:val="right" w:leader="underscore" w:pos="9288"/>
        </w:tabs>
        <w:spacing w:after="60"/>
        <w:ind w:left="0" w:firstLine="0"/>
        <w:rPr>
          <w:rFonts w:asciiTheme="minorHAnsi" w:eastAsiaTheme="minorEastAsia" w:hAnsiTheme="minorHAnsi" w:cstheme="minorBidi"/>
          <w:noProof/>
          <w:sz w:val="22"/>
          <w:szCs w:val="22"/>
          <w:lang w:val="vi-VN" w:eastAsia="vi-VN"/>
        </w:rPr>
      </w:pPr>
      <w:hyperlink w:anchor="_Toc87619915" w:history="1">
        <w:r w:rsidR="009F6D6A" w:rsidRPr="00287508">
          <w:rPr>
            <w:rStyle w:val="Hyperlink"/>
            <w:noProof/>
          </w:rPr>
          <w:t>1. Cơ chế, chính sách về thu NSNN, chi NSĐP</w:t>
        </w:r>
        <w:r w:rsidR="009F6D6A">
          <w:rPr>
            <w:noProof/>
            <w:webHidden/>
          </w:rPr>
          <w:tab/>
        </w:r>
        <w:r>
          <w:rPr>
            <w:noProof/>
            <w:webHidden/>
          </w:rPr>
          <w:fldChar w:fldCharType="begin"/>
        </w:r>
        <w:r w:rsidR="009F6D6A">
          <w:rPr>
            <w:noProof/>
            <w:webHidden/>
          </w:rPr>
          <w:instrText xml:space="preserve"> PAGEREF _Toc87619915 \h </w:instrText>
        </w:r>
        <w:r>
          <w:rPr>
            <w:noProof/>
            <w:webHidden/>
          </w:rPr>
        </w:r>
        <w:r>
          <w:rPr>
            <w:noProof/>
            <w:webHidden/>
          </w:rPr>
          <w:fldChar w:fldCharType="separate"/>
        </w:r>
        <w:r w:rsidR="00280322">
          <w:rPr>
            <w:noProof/>
            <w:webHidden/>
          </w:rPr>
          <w:t>4</w:t>
        </w:r>
        <w:r>
          <w:rPr>
            <w:noProof/>
            <w:webHidden/>
          </w:rPr>
          <w:fldChar w:fldCharType="end"/>
        </w:r>
      </w:hyperlink>
    </w:p>
    <w:p w:rsidR="009F6D6A" w:rsidRDefault="00C176EA" w:rsidP="00737296">
      <w:pPr>
        <w:pStyle w:val="TOC3"/>
        <w:tabs>
          <w:tab w:val="right" w:leader="underscore" w:pos="9288"/>
        </w:tabs>
        <w:spacing w:after="60"/>
        <w:ind w:left="0" w:firstLine="0"/>
        <w:rPr>
          <w:rFonts w:asciiTheme="minorHAnsi" w:eastAsiaTheme="minorEastAsia" w:hAnsiTheme="minorHAnsi" w:cstheme="minorBidi"/>
          <w:noProof/>
          <w:sz w:val="22"/>
          <w:szCs w:val="22"/>
          <w:lang w:val="vi-VN" w:eastAsia="vi-VN"/>
        </w:rPr>
      </w:pPr>
      <w:hyperlink w:anchor="_Toc87619916" w:history="1">
        <w:r w:rsidR="009F6D6A" w:rsidRPr="00287508">
          <w:rPr>
            <w:rStyle w:val="Hyperlink"/>
            <w:noProof/>
          </w:rPr>
          <w:t>2. Cơ chế, chính sách huy động nguồn lực ngoài NSNN</w:t>
        </w:r>
        <w:r w:rsidR="009F6D6A">
          <w:rPr>
            <w:noProof/>
            <w:webHidden/>
          </w:rPr>
          <w:tab/>
        </w:r>
        <w:r>
          <w:rPr>
            <w:noProof/>
            <w:webHidden/>
          </w:rPr>
          <w:fldChar w:fldCharType="begin"/>
        </w:r>
        <w:r w:rsidR="009F6D6A">
          <w:rPr>
            <w:noProof/>
            <w:webHidden/>
          </w:rPr>
          <w:instrText xml:space="preserve"> PAGEREF _Toc87619916 \h </w:instrText>
        </w:r>
        <w:r>
          <w:rPr>
            <w:noProof/>
            <w:webHidden/>
          </w:rPr>
        </w:r>
        <w:r>
          <w:rPr>
            <w:noProof/>
            <w:webHidden/>
          </w:rPr>
          <w:fldChar w:fldCharType="separate"/>
        </w:r>
        <w:r w:rsidR="00280322">
          <w:rPr>
            <w:noProof/>
            <w:webHidden/>
          </w:rPr>
          <w:t>7</w:t>
        </w:r>
        <w:r>
          <w:rPr>
            <w:noProof/>
            <w:webHidden/>
          </w:rPr>
          <w:fldChar w:fldCharType="end"/>
        </w:r>
      </w:hyperlink>
    </w:p>
    <w:p w:rsidR="009F6D6A" w:rsidRDefault="00C176EA" w:rsidP="00737296">
      <w:pPr>
        <w:pStyle w:val="TOC3"/>
        <w:tabs>
          <w:tab w:val="right" w:leader="underscore" w:pos="9288"/>
        </w:tabs>
        <w:spacing w:after="60"/>
        <w:ind w:left="0" w:firstLine="0"/>
        <w:rPr>
          <w:rFonts w:asciiTheme="minorHAnsi" w:eastAsiaTheme="minorEastAsia" w:hAnsiTheme="minorHAnsi" w:cstheme="minorBidi"/>
          <w:noProof/>
          <w:sz w:val="22"/>
          <w:szCs w:val="22"/>
          <w:lang w:val="vi-VN" w:eastAsia="vi-VN"/>
        </w:rPr>
      </w:pPr>
      <w:hyperlink w:anchor="_Toc87619917" w:history="1">
        <w:r w:rsidR="009F6D6A" w:rsidRPr="00287508">
          <w:rPr>
            <w:rStyle w:val="Hyperlink"/>
            <w:noProof/>
          </w:rPr>
          <w:t>3. Tổ chức bộ máy quản lý vay, nợ ở địa phương</w:t>
        </w:r>
        <w:r w:rsidR="009F6D6A">
          <w:rPr>
            <w:noProof/>
            <w:webHidden/>
          </w:rPr>
          <w:tab/>
        </w:r>
        <w:r>
          <w:rPr>
            <w:noProof/>
            <w:webHidden/>
          </w:rPr>
          <w:fldChar w:fldCharType="begin"/>
        </w:r>
        <w:r w:rsidR="009F6D6A">
          <w:rPr>
            <w:noProof/>
            <w:webHidden/>
          </w:rPr>
          <w:instrText xml:space="preserve"> PAGEREF _Toc87619917 \h </w:instrText>
        </w:r>
        <w:r>
          <w:rPr>
            <w:noProof/>
            <w:webHidden/>
          </w:rPr>
        </w:r>
        <w:r>
          <w:rPr>
            <w:noProof/>
            <w:webHidden/>
          </w:rPr>
          <w:fldChar w:fldCharType="separate"/>
        </w:r>
        <w:r w:rsidR="00280322">
          <w:rPr>
            <w:noProof/>
            <w:webHidden/>
          </w:rPr>
          <w:t>11</w:t>
        </w:r>
        <w:r>
          <w:rPr>
            <w:noProof/>
            <w:webHidden/>
          </w:rPr>
          <w:fldChar w:fldCharType="end"/>
        </w:r>
      </w:hyperlink>
    </w:p>
    <w:p w:rsidR="009F6D6A" w:rsidRDefault="00C176EA" w:rsidP="00737296">
      <w:pPr>
        <w:pStyle w:val="TOC2"/>
        <w:rPr>
          <w:rFonts w:asciiTheme="minorHAnsi" w:eastAsiaTheme="minorEastAsia" w:hAnsiTheme="minorHAnsi" w:cstheme="minorBidi"/>
          <w:sz w:val="22"/>
          <w:szCs w:val="22"/>
          <w:lang w:val="vi-VN" w:eastAsia="vi-VN"/>
        </w:rPr>
      </w:pPr>
      <w:hyperlink w:anchor="_Toc87619918" w:history="1">
        <w:r w:rsidR="009F6D6A" w:rsidRPr="00287508">
          <w:rPr>
            <w:rStyle w:val="Hyperlink"/>
          </w:rPr>
          <w:t>III. ĐÁNH GIÁ CÔNG TÁC QUẢN LÝ THU NSNN, CHI NSĐP, VAY, NỢ CỦA CHÍNH QUYỀN ĐỊA PHƯƠNG GIAI ĐOẠN 2016 – 2020</w:t>
        </w:r>
        <w:r w:rsidR="009F6D6A">
          <w:rPr>
            <w:webHidden/>
          </w:rPr>
          <w:tab/>
        </w:r>
        <w:r>
          <w:rPr>
            <w:webHidden/>
          </w:rPr>
          <w:fldChar w:fldCharType="begin"/>
        </w:r>
        <w:r w:rsidR="009F6D6A">
          <w:rPr>
            <w:webHidden/>
          </w:rPr>
          <w:instrText xml:space="preserve"> PAGEREF _Toc87619918 \h </w:instrText>
        </w:r>
        <w:r>
          <w:rPr>
            <w:webHidden/>
          </w:rPr>
        </w:r>
        <w:r>
          <w:rPr>
            <w:webHidden/>
          </w:rPr>
          <w:fldChar w:fldCharType="separate"/>
        </w:r>
        <w:r w:rsidR="00280322">
          <w:rPr>
            <w:webHidden/>
          </w:rPr>
          <w:t>12</w:t>
        </w:r>
        <w:r>
          <w:rPr>
            <w:webHidden/>
          </w:rPr>
          <w:fldChar w:fldCharType="end"/>
        </w:r>
      </w:hyperlink>
    </w:p>
    <w:p w:rsidR="009F6D6A" w:rsidRDefault="00C176EA" w:rsidP="00737296">
      <w:pPr>
        <w:pStyle w:val="TOC3"/>
        <w:tabs>
          <w:tab w:val="right" w:leader="underscore" w:pos="9288"/>
        </w:tabs>
        <w:spacing w:after="60"/>
        <w:ind w:left="0" w:firstLine="0"/>
        <w:rPr>
          <w:rFonts w:asciiTheme="minorHAnsi" w:eastAsiaTheme="minorEastAsia" w:hAnsiTheme="minorHAnsi" w:cstheme="minorBidi"/>
          <w:noProof/>
          <w:sz w:val="22"/>
          <w:szCs w:val="22"/>
          <w:lang w:val="vi-VN" w:eastAsia="vi-VN"/>
        </w:rPr>
      </w:pPr>
      <w:hyperlink w:anchor="_Toc87619919" w:history="1">
        <w:r w:rsidR="009F6D6A" w:rsidRPr="00287508">
          <w:rPr>
            <w:rStyle w:val="Hyperlink"/>
            <w:noProof/>
          </w:rPr>
          <w:t>1. Kết quả thu NSNN, chi NSĐP</w:t>
        </w:r>
        <w:r w:rsidR="009F6D6A">
          <w:rPr>
            <w:noProof/>
            <w:webHidden/>
          </w:rPr>
          <w:tab/>
        </w:r>
        <w:r>
          <w:rPr>
            <w:noProof/>
            <w:webHidden/>
          </w:rPr>
          <w:fldChar w:fldCharType="begin"/>
        </w:r>
        <w:r w:rsidR="009F6D6A">
          <w:rPr>
            <w:noProof/>
            <w:webHidden/>
          </w:rPr>
          <w:instrText xml:space="preserve"> PAGEREF _Toc87619919 \h </w:instrText>
        </w:r>
        <w:r>
          <w:rPr>
            <w:noProof/>
            <w:webHidden/>
          </w:rPr>
        </w:r>
        <w:r>
          <w:rPr>
            <w:noProof/>
            <w:webHidden/>
          </w:rPr>
          <w:fldChar w:fldCharType="separate"/>
        </w:r>
        <w:r w:rsidR="00280322">
          <w:rPr>
            <w:noProof/>
            <w:webHidden/>
          </w:rPr>
          <w:t>12</w:t>
        </w:r>
        <w:r>
          <w:rPr>
            <w:noProof/>
            <w:webHidden/>
          </w:rPr>
          <w:fldChar w:fldCharType="end"/>
        </w:r>
      </w:hyperlink>
    </w:p>
    <w:p w:rsidR="009F6D6A" w:rsidRDefault="00C176EA" w:rsidP="00737296">
      <w:pPr>
        <w:pStyle w:val="TOC3"/>
        <w:tabs>
          <w:tab w:val="right" w:leader="underscore" w:pos="9288"/>
        </w:tabs>
        <w:spacing w:after="60"/>
        <w:ind w:left="0" w:firstLine="0"/>
        <w:rPr>
          <w:rFonts w:asciiTheme="minorHAnsi" w:eastAsiaTheme="minorEastAsia" w:hAnsiTheme="minorHAnsi" w:cstheme="minorBidi"/>
          <w:noProof/>
          <w:sz w:val="22"/>
          <w:szCs w:val="22"/>
          <w:lang w:val="vi-VN" w:eastAsia="vi-VN"/>
        </w:rPr>
      </w:pPr>
      <w:hyperlink w:anchor="_Toc87619920" w:history="1">
        <w:r w:rsidR="009F6D6A" w:rsidRPr="00287508">
          <w:rPr>
            <w:rStyle w:val="Hyperlink"/>
            <w:noProof/>
          </w:rPr>
          <w:t>2. Công tác quản lý vay, nợ của NSĐP</w:t>
        </w:r>
        <w:r w:rsidR="009F6D6A">
          <w:rPr>
            <w:noProof/>
            <w:webHidden/>
          </w:rPr>
          <w:tab/>
        </w:r>
        <w:r>
          <w:rPr>
            <w:noProof/>
            <w:webHidden/>
          </w:rPr>
          <w:fldChar w:fldCharType="begin"/>
        </w:r>
        <w:r w:rsidR="009F6D6A">
          <w:rPr>
            <w:noProof/>
            <w:webHidden/>
          </w:rPr>
          <w:instrText xml:space="preserve"> PAGEREF _Toc87619920 \h </w:instrText>
        </w:r>
        <w:r>
          <w:rPr>
            <w:noProof/>
            <w:webHidden/>
          </w:rPr>
        </w:r>
        <w:r>
          <w:rPr>
            <w:noProof/>
            <w:webHidden/>
          </w:rPr>
          <w:fldChar w:fldCharType="separate"/>
        </w:r>
        <w:r w:rsidR="00280322">
          <w:rPr>
            <w:noProof/>
            <w:webHidden/>
          </w:rPr>
          <w:t>15</w:t>
        </w:r>
        <w:r>
          <w:rPr>
            <w:noProof/>
            <w:webHidden/>
          </w:rPr>
          <w:fldChar w:fldCharType="end"/>
        </w:r>
      </w:hyperlink>
    </w:p>
    <w:p w:rsidR="009F6D6A" w:rsidRDefault="00C176EA" w:rsidP="00737296">
      <w:pPr>
        <w:pStyle w:val="TOC3"/>
        <w:tabs>
          <w:tab w:val="right" w:leader="underscore" w:pos="9288"/>
        </w:tabs>
        <w:spacing w:after="60"/>
        <w:ind w:left="0" w:firstLine="0"/>
        <w:rPr>
          <w:rFonts w:asciiTheme="minorHAnsi" w:eastAsiaTheme="minorEastAsia" w:hAnsiTheme="minorHAnsi" w:cstheme="minorBidi"/>
          <w:noProof/>
          <w:sz w:val="22"/>
          <w:szCs w:val="22"/>
          <w:lang w:val="vi-VN" w:eastAsia="vi-VN"/>
        </w:rPr>
      </w:pPr>
      <w:hyperlink w:anchor="_Toc87619921" w:history="1">
        <w:r w:rsidR="009F6D6A" w:rsidRPr="00287508">
          <w:rPr>
            <w:rStyle w:val="Hyperlink"/>
            <w:noProof/>
          </w:rPr>
          <w:t>3. Một số yếu tố rủi ro tác động đến cân đối ngân sách địa phương</w:t>
        </w:r>
        <w:r w:rsidR="009F6D6A">
          <w:rPr>
            <w:noProof/>
            <w:webHidden/>
          </w:rPr>
          <w:tab/>
        </w:r>
        <w:r>
          <w:rPr>
            <w:noProof/>
            <w:webHidden/>
          </w:rPr>
          <w:fldChar w:fldCharType="begin"/>
        </w:r>
        <w:r w:rsidR="009F6D6A">
          <w:rPr>
            <w:noProof/>
            <w:webHidden/>
          </w:rPr>
          <w:instrText xml:space="preserve"> PAGEREF _Toc87619921 \h </w:instrText>
        </w:r>
        <w:r>
          <w:rPr>
            <w:noProof/>
            <w:webHidden/>
          </w:rPr>
        </w:r>
        <w:r>
          <w:rPr>
            <w:noProof/>
            <w:webHidden/>
          </w:rPr>
          <w:fldChar w:fldCharType="separate"/>
        </w:r>
        <w:r w:rsidR="00280322">
          <w:rPr>
            <w:noProof/>
            <w:webHidden/>
          </w:rPr>
          <w:t>17</w:t>
        </w:r>
        <w:r>
          <w:rPr>
            <w:noProof/>
            <w:webHidden/>
          </w:rPr>
          <w:fldChar w:fldCharType="end"/>
        </w:r>
      </w:hyperlink>
    </w:p>
    <w:p w:rsidR="009F6D6A" w:rsidRDefault="00C176EA" w:rsidP="00737296">
      <w:pPr>
        <w:pStyle w:val="TOC2"/>
        <w:rPr>
          <w:rFonts w:asciiTheme="minorHAnsi" w:eastAsiaTheme="minorEastAsia" w:hAnsiTheme="minorHAnsi" w:cstheme="minorBidi"/>
          <w:sz w:val="22"/>
          <w:szCs w:val="22"/>
          <w:lang w:val="vi-VN" w:eastAsia="vi-VN"/>
        </w:rPr>
      </w:pPr>
      <w:hyperlink w:anchor="_Toc87619922" w:history="1">
        <w:r w:rsidR="009F6D6A" w:rsidRPr="00287508">
          <w:rPr>
            <w:rStyle w:val="Hyperlink"/>
          </w:rPr>
          <w:t>IV. NHỮNG KHÓ KHĂN, HẠN CHẾ VÀ NGUYÊN NHÂN</w:t>
        </w:r>
        <w:r w:rsidR="009F6D6A">
          <w:rPr>
            <w:webHidden/>
          </w:rPr>
          <w:tab/>
        </w:r>
        <w:r>
          <w:rPr>
            <w:webHidden/>
          </w:rPr>
          <w:fldChar w:fldCharType="begin"/>
        </w:r>
        <w:r w:rsidR="009F6D6A">
          <w:rPr>
            <w:webHidden/>
          </w:rPr>
          <w:instrText xml:space="preserve"> PAGEREF _Toc87619922 \h </w:instrText>
        </w:r>
        <w:r>
          <w:rPr>
            <w:webHidden/>
          </w:rPr>
        </w:r>
        <w:r>
          <w:rPr>
            <w:webHidden/>
          </w:rPr>
          <w:fldChar w:fldCharType="separate"/>
        </w:r>
        <w:r w:rsidR="00280322">
          <w:rPr>
            <w:webHidden/>
          </w:rPr>
          <w:t>25</w:t>
        </w:r>
        <w:r>
          <w:rPr>
            <w:webHidden/>
          </w:rPr>
          <w:fldChar w:fldCharType="end"/>
        </w:r>
      </w:hyperlink>
    </w:p>
    <w:p w:rsidR="009F6D6A" w:rsidRDefault="00C176EA" w:rsidP="00737296">
      <w:pPr>
        <w:pStyle w:val="TOC3"/>
        <w:tabs>
          <w:tab w:val="right" w:leader="underscore" w:pos="9288"/>
        </w:tabs>
        <w:spacing w:after="60"/>
        <w:ind w:left="0" w:firstLine="0"/>
        <w:rPr>
          <w:rFonts w:asciiTheme="minorHAnsi" w:eastAsiaTheme="minorEastAsia" w:hAnsiTheme="minorHAnsi" w:cstheme="minorBidi"/>
          <w:noProof/>
          <w:sz w:val="22"/>
          <w:szCs w:val="22"/>
          <w:lang w:val="vi-VN" w:eastAsia="vi-VN"/>
        </w:rPr>
      </w:pPr>
      <w:hyperlink w:anchor="_Toc87619923" w:history="1">
        <w:r w:rsidR="009F6D6A" w:rsidRPr="00287508">
          <w:rPr>
            <w:rStyle w:val="Hyperlink"/>
            <w:noProof/>
          </w:rPr>
          <w:t>1. Những khó khăn, hạn chế</w:t>
        </w:r>
        <w:r w:rsidR="009F6D6A">
          <w:rPr>
            <w:noProof/>
            <w:webHidden/>
          </w:rPr>
          <w:tab/>
        </w:r>
        <w:r>
          <w:rPr>
            <w:noProof/>
            <w:webHidden/>
          </w:rPr>
          <w:fldChar w:fldCharType="begin"/>
        </w:r>
        <w:r w:rsidR="009F6D6A">
          <w:rPr>
            <w:noProof/>
            <w:webHidden/>
          </w:rPr>
          <w:instrText xml:space="preserve"> PAGEREF _Toc87619923 \h </w:instrText>
        </w:r>
        <w:r>
          <w:rPr>
            <w:noProof/>
            <w:webHidden/>
          </w:rPr>
        </w:r>
        <w:r>
          <w:rPr>
            <w:noProof/>
            <w:webHidden/>
          </w:rPr>
          <w:fldChar w:fldCharType="separate"/>
        </w:r>
        <w:r w:rsidR="00280322">
          <w:rPr>
            <w:noProof/>
            <w:webHidden/>
          </w:rPr>
          <w:t>25</w:t>
        </w:r>
        <w:r>
          <w:rPr>
            <w:noProof/>
            <w:webHidden/>
          </w:rPr>
          <w:fldChar w:fldCharType="end"/>
        </w:r>
      </w:hyperlink>
    </w:p>
    <w:p w:rsidR="009F6D6A" w:rsidRDefault="00C176EA" w:rsidP="00737296">
      <w:pPr>
        <w:pStyle w:val="TOC3"/>
        <w:tabs>
          <w:tab w:val="right" w:leader="underscore" w:pos="9288"/>
        </w:tabs>
        <w:spacing w:after="60"/>
        <w:ind w:left="0" w:firstLine="0"/>
        <w:rPr>
          <w:rFonts w:asciiTheme="minorHAnsi" w:eastAsiaTheme="minorEastAsia" w:hAnsiTheme="minorHAnsi" w:cstheme="minorBidi"/>
          <w:noProof/>
          <w:sz w:val="22"/>
          <w:szCs w:val="22"/>
          <w:lang w:val="vi-VN" w:eastAsia="vi-VN"/>
        </w:rPr>
      </w:pPr>
      <w:hyperlink w:anchor="_Toc87619924" w:history="1">
        <w:r w:rsidR="009F6D6A" w:rsidRPr="00287508">
          <w:rPr>
            <w:rStyle w:val="Hyperlink"/>
            <w:noProof/>
          </w:rPr>
          <w:t>2. Nguyên nhân hạn chế, yếu kém</w:t>
        </w:r>
        <w:r w:rsidR="009F6D6A">
          <w:rPr>
            <w:noProof/>
            <w:webHidden/>
          </w:rPr>
          <w:tab/>
        </w:r>
        <w:r>
          <w:rPr>
            <w:noProof/>
            <w:webHidden/>
          </w:rPr>
          <w:fldChar w:fldCharType="begin"/>
        </w:r>
        <w:r w:rsidR="009F6D6A">
          <w:rPr>
            <w:noProof/>
            <w:webHidden/>
          </w:rPr>
          <w:instrText xml:space="preserve"> PAGEREF _Toc87619924 \h </w:instrText>
        </w:r>
        <w:r>
          <w:rPr>
            <w:noProof/>
            <w:webHidden/>
          </w:rPr>
        </w:r>
        <w:r>
          <w:rPr>
            <w:noProof/>
            <w:webHidden/>
          </w:rPr>
          <w:fldChar w:fldCharType="separate"/>
        </w:r>
        <w:r w:rsidR="00280322">
          <w:rPr>
            <w:noProof/>
            <w:webHidden/>
          </w:rPr>
          <w:t>28</w:t>
        </w:r>
        <w:r>
          <w:rPr>
            <w:noProof/>
            <w:webHidden/>
          </w:rPr>
          <w:fldChar w:fldCharType="end"/>
        </w:r>
      </w:hyperlink>
    </w:p>
    <w:p w:rsidR="009F6D6A" w:rsidRPr="00737296" w:rsidRDefault="00C176EA" w:rsidP="00737296">
      <w:pPr>
        <w:pStyle w:val="TOC1"/>
        <w:rPr>
          <w:rFonts w:asciiTheme="minorHAnsi" w:eastAsiaTheme="minorEastAsia" w:hAnsiTheme="minorHAnsi" w:cstheme="minorBidi"/>
          <w:lang w:val="vi-VN" w:eastAsia="vi-VN"/>
        </w:rPr>
      </w:pPr>
      <w:hyperlink w:anchor="_Toc87619925" w:history="1">
        <w:r w:rsidR="009F6D6A" w:rsidRPr="00737296">
          <w:rPr>
            <w:rStyle w:val="Hyperlink"/>
            <w:sz w:val="26"/>
            <w:szCs w:val="26"/>
          </w:rPr>
          <w:t>Phần II</w:t>
        </w:r>
      </w:hyperlink>
      <w:r w:rsidR="009F2AE4" w:rsidRPr="00737296">
        <w:rPr>
          <w:rStyle w:val="Hyperlink"/>
          <w:sz w:val="26"/>
          <w:szCs w:val="26"/>
          <w:u w:val="none"/>
        </w:rPr>
        <w:t xml:space="preserve">: </w:t>
      </w:r>
      <w:hyperlink w:anchor="_Toc87619926" w:history="1">
        <w:r w:rsidR="009F6D6A" w:rsidRPr="00737296">
          <w:rPr>
            <w:rStyle w:val="Hyperlink"/>
            <w:sz w:val="26"/>
            <w:szCs w:val="26"/>
          </w:rPr>
          <w:t>PHƯƠNG HƯỚNG, NHIỆM VỤ CÔNG TÁC QUẢN LÝ NỢ VÀ GIÁM SÁT RỦI RO TÀI KHÓA NGÂN SÁCH ĐỊA PHƯƠNG NĂM 2021 - 2022</w:t>
        </w:r>
        <w:r w:rsidR="009F6D6A" w:rsidRPr="00737296">
          <w:rPr>
            <w:webHidden/>
          </w:rPr>
          <w:tab/>
        </w:r>
        <w:r w:rsidRPr="00737296">
          <w:rPr>
            <w:webHidden/>
          </w:rPr>
          <w:fldChar w:fldCharType="begin"/>
        </w:r>
        <w:r w:rsidR="009F6D6A" w:rsidRPr="00737296">
          <w:rPr>
            <w:webHidden/>
          </w:rPr>
          <w:instrText xml:space="preserve"> PAGEREF _Toc87619926 \h </w:instrText>
        </w:r>
        <w:r w:rsidRPr="00737296">
          <w:rPr>
            <w:webHidden/>
          </w:rPr>
        </w:r>
        <w:r w:rsidRPr="00737296">
          <w:rPr>
            <w:webHidden/>
          </w:rPr>
          <w:fldChar w:fldCharType="separate"/>
        </w:r>
        <w:r w:rsidR="00280322">
          <w:rPr>
            <w:webHidden/>
          </w:rPr>
          <w:t>30</w:t>
        </w:r>
        <w:r w:rsidRPr="00737296">
          <w:rPr>
            <w:webHidden/>
          </w:rPr>
          <w:fldChar w:fldCharType="end"/>
        </w:r>
      </w:hyperlink>
    </w:p>
    <w:p w:rsidR="009F6D6A" w:rsidRDefault="00C176EA" w:rsidP="00737296">
      <w:pPr>
        <w:pStyle w:val="TOC2"/>
        <w:rPr>
          <w:rFonts w:asciiTheme="minorHAnsi" w:eastAsiaTheme="minorEastAsia" w:hAnsiTheme="minorHAnsi" w:cstheme="minorBidi"/>
          <w:sz w:val="22"/>
          <w:szCs w:val="22"/>
          <w:lang w:val="vi-VN" w:eastAsia="vi-VN"/>
        </w:rPr>
      </w:pPr>
      <w:hyperlink w:anchor="_Toc87619927" w:history="1">
        <w:r w:rsidR="009F6D6A" w:rsidRPr="00287508">
          <w:rPr>
            <w:rStyle w:val="Hyperlink"/>
          </w:rPr>
          <w:t>I. DỰ BÁO BỐI CẢNH PHÁT TRIỂN KINH TẾ - XÃ HỘI:</w:t>
        </w:r>
        <w:r w:rsidR="009F6D6A">
          <w:rPr>
            <w:webHidden/>
          </w:rPr>
          <w:tab/>
        </w:r>
        <w:r>
          <w:rPr>
            <w:webHidden/>
          </w:rPr>
          <w:fldChar w:fldCharType="begin"/>
        </w:r>
        <w:r w:rsidR="009F6D6A">
          <w:rPr>
            <w:webHidden/>
          </w:rPr>
          <w:instrText xml:space="preserve"> PAGEREF _Toc87619927 \h </w:instrText>
        </w:r>
        <w:r>
          <w:rPr>
            <w:webHidden/>
          </w:rPr>
        </w:r>
        <w:r>
          <w:rPr>
            <w:webHidden/>
          </w:rPr>
          <w:fldChar w:fldCharType="separate"/>
        </w:r>
        <w:r w:rsidR="00280322">
          <w:rPr>
            <w:webHidden/>
          </w:rPr>
          <w:t>30</w:t>
        </w:r>
        <w:r>
          <w:rPr>
            <w:webHidden/>
          </w:rPr>
          <w:fldChar w:fldCharType="end"/>
        </w:r>
      </w:hyperlink>
    </w:p>
    <w:p w:rsidR="009F6D6A" w:rsidRDefault="00C176EA" w:rsidP="00737296">
      <w:pPr>
        <w:pStyle w:val="TOC2"/>
        <w:rPr>
          <w:rFonts w:asciiTheme="minorHAnsi" w:eastAsiaTheme="minorEastAsia" w:hAnsiTheme="minorHAnsi" w:cstheme="minorBidi"/>
          <w:sz w:val="22"/>
          <w:szCs w:val="22"/>
          <w:lang w:val="vi-VN" w:eastAsia="vi-VN"/>
        </w:rPr>
      </w:pPr>
      <w:hyperlink w:anchor="_Toc87619928" w:history="1">
        <w:r w:rsidR="009F6D6A" w:rsidRPr="00287508">
          <w:rPr>
            <w:rStyle w:val="Hyperlink"/>
          </w:rPr>
          <w:t>II. MỤC TIÊU VÀ YÊU CẦU CÔNG TÁC QUẢN LÝ NỢ VÀ GIÁM SÁT RỦI RO TÀI KHÓA NGÂN SÁCH ĐỊA PHƯƠNG</w:t>
        </w:r>
        <w:r w:rsidR="009F6D6A">
          <w:rPr>
            <w:webHidden/>
          </w:rPr>
          <w:tab/>
        </w:r>
        <w:r>
          <w:rPr>
            <w:webHidden/>
          </w:rPr>
          <w:fldChar w:fldCharType="begin"/>
        </w:r>
        <w:r w:rsidR="009F6D6A">
          <w:rPr>
            <w:webHidden/>
          </w:rPr>
          <w:instrText xml:space="preserve"> PAGEREF _Toc87619928 \h </w:instrText>
        </w:r>
        <w:r>
          <w:rPr>
            <w:webHidden/>
          </w:rPr>
        </w:r>
        <w:r>
          <w:rPr>
            <w:webHidden/>
          </w:rPr>
          <w:fldChar w:fldCharType="separate"/>
        </w:r>
        <w:r w:rsidR="00280322">
          <w:rPr>
            <w:webHidden/>
          </w:rPr>
          <w:t>31</w:t>
        </w:r>
        <w:r>
          <w:rPr>
            <w:webHidden/>
          </w:rPr>
          <w:fldChar w:fldCharType="end"/>
        </w:r>
      </w:hyperlink>
    </w:p>
    <w:p w:rsidR="009F6D6A" w:rsidRDefault="00C176EA" w:rsidP="00737296">
      <w:pPr>
        <w:pStyle w:val="TOC3"/>
        <w:tabs>
          <w:tab w:val="right" w:leader="underscore" w:pos="9288"/>
        </w:tabs>
        <w:spacing w:after="60"/>
        <w:ind w:left="0" w:firstLine="0"/>
        <w:rPr>
          <w:rFonts w:asciiTheme="minorHAnsi" w:eastAsiaTheme="minorEastAsia" w:hAnsiTheme="minorHAnsi" w:cstheme="minorBidi"/>
          <w:noProof/>
          <w:sz w:val="22"/>
          <w:szCs w:val="22"/>
          <w:lang w:val="vi-VN" w:eastAsia="vi-VN"/>
        </w:rPr>
      </w:pPr>
      <w:hyperlink w:anchor="_Toc87619929" w:history="1">
        <w:r w:rsidR="009F6D6A" w:rsidRPr="00287508">
          <w:rPr>
            <w:rStyle w:val="Hyperlink"/>
            <w:noProof/>
          </w:rPr>
          <w:t>1. Mục tiêu:</w:t>
        </w:r>
        <w:r w:rsidR="009F6D6A">
          <w:rPr>
            <w:noProof/>
            <w:webHidden/>
          </w:rPr>
          <w:tab/>
        </w:r>
        <w:r>
          <w:rPr>
            <w:noProof/>
            <w:webHidden/>
          </w:rPr>
          <w:fldChar w:fldCharType="begin"/>
        </w:r>
        <w:r w:rsidR="009F6D6A">
          <w:rPr>
            <w:noProof/>
            <w:webHidden/>
          </w:rPr>
          <w:instrText xml:space="preserve"> PAGEREF _Toc87619929 \h </w:instrText>
        </w:r>
        <w:r>
          <w:rPr>
            <w:noProof/>
            <w:webHidden/>
          </w:rPr>
        </w:r>
        <w:r>
          <w:rPr>
            <w:noProof/>
            <w:webHidden/>
          </w:rPr>
          <w:fldChar w:fldCharType="separate"/>
        </w:r>
        <w:r w:rsidR="00280322">
          <w:rPr>
            <w:noProof/>
            <w:webHidden/>
          </w:rPr>
          <w:t>31</w:t>
        </w:r>
        <w:r>
          <w:rPr>
            <w:noProof/>
            <w:webHidden/>
          </w:rPr>
          <w:fldChar w:fldCharType="end"/>
        </w:r>
      </w:hyperlink>
    </w:p>
    <w:p w:rsidR="009F6D6A" w:rsidRDefault="00C176EA" w:rsidP="00737296">
      <w:pPr>
        <w:pStyle w:val="TOC3"/>
        <w:tabs>
          <w:tab w:val="right" w:leader="underscore" w:pos="9288"/>
        </w:tabs>
        <w:spacing w:after="60"/>
        <w:ind w:left="0" w:firstLine="0"/>
        <w:rPr>
          <w:rFonts w:asciiTheme="minorHAnsi" w:eastAsiaTheme="minorEastAsia" w:hAnsiTheme="minorHAnsi" w:cstheme="minorBidi"/>
          <w:noProof/>
          <w:sz w:val="22"/>
          <w:szCs w:val="22"/>
          <w:lang w:val="vi-VN" w:eastAsia="vi-VN"/>
        </w:rPr>
      </w:pPr>
      <w:hyperlink w:anchor="_Toc87619930" w:history="1">
        <w:r w:rsidR="009F6D6A" w:rsidRPr="00287508">
          <w:rPr>
            <w:rStyle w:val="Hyperlink"/>
            <w:noProof/>
          </w:rPr>
          <w:t>2. Yêu cầu:</w:t>
        </w:r>
        <w:r w:rsidR="009F6D6A">
          <w:rPr>
            <w:noProof/>
            <w:webHidden/>
          </w:rPr>
          <w:tab/>
        </w:r>
        <w:r>
          <w:rPr>
            <w:noProof/>
            <w:webHidden/>
          </w:rPr>
          <w:fldChar w:fldCharType="begin"/>
        </w:r>
        <w:r w:rsidR="009F6D6A">
          <w:rPr>
            <w:noProof/>
            <w:webHidden/>
          </w:rPr>
          <w:instrText xml:space="preserve"> PAGEREF _Toc87619930 \h </w:instrText>
        </w:r>
        <w:r>
          <w:rPr>
            <w:noProof/>
            <w:webHidden/>
          </w:rPr>
        </w:r>
        <w:r>
          <w:rPr>
            <w:noProof/>
            <w:webHidden/>
          </w:rPr>
          <w:fldChar w:fldCharType="separate"/>
        </w:r>
        <w:r w:rsidR="00280322">
          <w:rPr>
            <w:noProof/>
            <w:webHidden/>
          </w:rPr>
          <w:t>31</w:t>
        </w:r>
        <w:r>
          <w:rPr>
            <w:noProof/>
            <w:webHidden/>
          </w:rPr>
          <w:fldChar w:fldCharType="end"/>
        </w:r>
      </w:hyperlink>
    </w:p>
    <w:p w:rsidR="009F6D6A" w:rsidRDefault="00C176EA" w:rsidP="00737296">
      <w:pPr>
        <w:pStyle w:val="TOC2"/>
        <w:rPr>
          <w:rFonts w:asciiTheme="minorHAnsi" w:eastAsiaTheme="minorEastAsia" w:hAnsiTheme="minorHAnsi" w:cstheme="minorBidi"/>
          <w:sz w:val="22"/>
          <w:szCs w:val="22"/>
          <w:lang w:val="vi-VN" w:eastAsia="vi-VN"/>
        </w:rPr>
      </w:pPr>
      <w:hyperlink w:anchor="_Toc87619931" w:history="1">
        <w:r w:rsidR="009F6D6A" w:rsidRPr="00287508">
          <w:rPr>
            <w:rStyle w:val="Hyperlink"/>
          </w:rPr>
          <w:t>III. ĐỊNH HƯỚNG CÔNG TÁC QUẢN LÝ NỢ VÀ GIÁM SÁT RỦI RO TÀI KHÓA NGÂN SÁCH ĐỊA PHƯƠNG NĂM 2021 - 2022</w:t>
        </w:r>
        <w:r w:rsidR="009F6D6A">
          <w:rPr>
            <w:webHidden/>
          </w:rPr>
          <w:tab/>
        </w:r>
        <w:r>
          <w:rPr>
            <w:webHidden/>
          </w:rPr>
          <w:fldChar w:fldCharType="begin"/>
        </w:r>
        <w:r w:rsidR="009F6D6A">
          <w:rPr>
            <w:webHidden/>
          </w:rPr>
          <w:instrText xml:space="preserve"> PAGEREF _Toc87619931 \h </w:instrText>
        </w:r>
        <w:r>
          <w:rPr>
            <w:webHidden/>
          </w:rPr>
        </w:r>
        <w:r>
          <w:rPr>
            <w:webHidden/>
          </w:rPr>
          <w:fldChar w:fldCharType="separate"/>
        </w:r>
        <w:r w:rsidR="00280322">
          <w:rPr>
            <w:webHidden/>
          </w:rPr>
          <w:t>32</w:t>
        </w:r>
        <w:r>
          <w:rPr>
            <w:webHidden/>
          </w:rPr>
          <w:fldChar w:fldCharType="end"/>
        </w:r>
      </w:hyperlink>
    </w:p>
    <w:p w:rsidR="009F6D6A" w:rsidRDefault="00C176EA" w:rsidP="00737296">
      <w:pPr>
        <w:pStyle w:val="TOC3"/>
        <w:tabs>
          <w:tab w:val="right" w:leader="underscore" w:pos="9288"/>
        </w:tabs>
        <w:spacing w:after="60"/>
        <w:ind w:left="0" w:firstLine="0"/>
        <w:rPr>
          <w:rFonts w:asciiTheme="minorHAnsi" w:eastAsiaTheme="minorEastAsia" w:hAnsiTheme="minorHAnsi" w:cstheme="minorBidi"/>
          <w:noProof/>
          <w:sz w:val="22"/>
          <w:szCs w:val="22"/>
          <w:lang w:val="vi-VN" w:eastAsia="vi-VN"/>
        </w:rPr>
      </w:pPr>
      <w:hyperlink w:anchor="_Toc87619932" w:history="1">
        <w:r w:rsidR="009F6D6A" w:rsidRPr="00287508">
          <w:rPr>
            <w:rStyle w:val="Hyperlink"/>
            <w:noProof/>
          </w:rPr>
          <w:t>1. Định hướng công tác quản lý thu ngân sách nhà nước, chi ngân sách địa phương và vay, trả nợ</w:t>
        </w:r>
        <w:r w:rsidR="009F6D6A">
          <w:rPr>
            <w:noProof/>
            <w:webHidden/>
          </w:rPr>
          <w:tab/>
        </w:r>
        <w:r>
          <w:rPr>
            <w:noProof/>
            <w:webHidden/>
          </w:rPr>
          <w:fldChar w:fldCharType="begin"/>
        </w:r>
        <w:r w:rsidR="009F6D6A">
          <w:rPr>
            <w:noProof/>
            <w:webHidden/>
          </w:rPr>
          <w:instrText xml:space="preserve"> PAGEREF _Toc87619932 \h </w:instrText>
        </w:r>
        <w:r>
          <w:rPr>
            <w:noProof/>
            <w:webHidden/>
          </w:rPr>
        </w:r>
        <w:r>
          <w:rPr>
            <w:noProof/>
            <w:webHidden/>
          </w:rPr>
          <w:fldChar w:fldCharType="separate"/>
        </w:r>
        <w:r w:rsidR="00280322">
          <w:rPr>
            <w:noProof/>
            <w:webHidden/>
          </w:rPr>
          <w:t>32</w:t>
        </w:r>
        <w:r>
          <w:rPr>
            <w:noProof/>
            <w:webHidden/>
          </w:rPr>
          <w:fldChar w:fldCharType="end"/>
        </w:r>
      </w:hyperlink>
    </w:p>
    <w:p w:rsidR="009F6D6A" w:rsidRDefault="00C176EA" w:rsidP="00737296">
      <w:pPr>
        <w:pStyle w:val="TOC3"/>
        <w:tabs>
          <w:tab w:val="right" w:leader="underscore" w:pos="9288"/>
        </w:tabs>
        <w:spacing w:after="60"/>
        <w:ind w:left="0" w:firstLine="0"/>
        <w:rPr>
          <w:rFonts w:asciiTheme="minorHAnsi" w:eastAsiaTheme="minorEastAsia" w:hAnsiTheme="minorHAnsi" w:cstheme="minorBidi"/>
          <w:noProof/>
          <w:sz w:val="22"/>
          <w:szCs w:val="22"/>
          <w:lang w:val="vi-VN" w:eastAsia="vi-VN"/>
        </w:rPr>
      </w:pPr>
      <w:hyperlink w:anchor="_Toc87619933" w:history="1">
        <w:r w:rsidR="009F6D6A" w:rsidRPr="00287508">
          <w:rPr>
            <w:rStyle w:val="Hyperlink"/>
            <w:noProof/>
          </w:rPr>
          <w:t>2. Một số rủi ro tài khóa ngân sách địa phương</w:t>
        </w:r>
        <w:r w:rsidR="009F6D6A">
          <w:rPr>
            <w:noProof/>
            <w:webHidden/>
          </w:rPr>
          <w:tab/>
        </w:r>
        <w:r>
          <w:rPr>
            <w:noProof/>
            <w:webHidden/>
          </w:rPr>
          <w:fldChar w:fldCharType="begin"/>
        </w:r>
        <w:r w:rsidR="009F6D6A">
          <w:rPr>
            <w:noProof/>
            <w:webHidden/>
          </w:rPr>
          <w:instrText xml:space="preserve"> PAGEREF _Toc87619933 \h </w:instrText>
        </w:r>
        <w:r>
          <w:rPr>
            <w:noProof/>
            <w:webHidden/>
          </w:rPr>
        </w:r>
        <w:r>
          <w:rPr>
            <w:noProof/>
            <w:webHidden/>
          </w:rPr>
          <w:fldChar w:fldCharType="separate"/>
        </w:r>
        <w:r w:rsidR="00280322">
          <w:rPr>
            <w:noProof/>
            <w:webHidden/>
          </w:rPr>
          <w:t>33</w:t>
        </w:r>
        <w:r>
          <w:rPr>
            <w:noProof/>
            <w:webHidden/>
          </w:rPr>
          <w:fldChar w:fldCharType="end"/>
        </w:r>
      </w:hyperlink>
    </w:p>
    <w:p w:rsidR="009F6D6A" w:rsidRDefault="00C176EA" w:rsidP="00737296">
      <w:pPr>
        <w:pStyle w:val="TOC2"/>
        <w:rPr>
          <w:rFonts w:asciiTheme="minorHAnsi" w:eastAsiaTheme="minorEastAsia" w:hAnsiTheme="minorHAnsi" w:cstheme="minorBidi"/>
          <w:sz w:val="22"/>
          <w:szCs w:val="22"/>
          <w:lang w:val="vi-VN" w:eastAsia="vi-VN"/>
        </w:rPr>
      </w:pPr>
      <w:hyperlink w:anchor="_Toc87619934" w:history="1">
        <w:r w:rsidR="009F6D6A" w:rsidRPr="00287508">
          <w:rPr>
            <w:rStyle w:val="Hyperlink"/>
          </w:rPr>
          <w:t>IV. GIẢI PHÁP THỰC HIỆN CÔNG TÁC QUẢN LÝ NỢ VÀ GIÁM SÁT RỦI RO TÀI KHÓA NGÂN SÁCH ĐỊA PHƯƠNG NĂM 2021 - 2022</w:t>
        </w:r>
        <w:r w:rsidR="009F6D6A">
          <w:rPr>
            <w:webHidden/>
          </w:rPr>
          <w:tab/>
        </w:r>
        <w:r>
          <w:rPr>
            <w:webHidden/>
          </w:rPr>
          <w:fldChar w:fldCharType="begin"/>
        </w:r>
        <w:r w:rsidR="009F6D6A">
          <w:rPr>
            <w:webHidden/>
          </w:rPr>
          <w:instrText xml:space="preserve"> PAGEREF _Toc87619934 \h </w:instrText>
        </w:r>
        <w:r>
          <w:rPr>
            <w:webHidden/>
          </w:rPr>
        </w:r>
        <w:r>
          <w:rPr>
            <w:webHidden/>
          </w:rPr>
          <w:fldChar w:fldCharType="separate"/>
        </w:r>
        <w:r w:rsidR="00280322">
          <w:rPr>
            <w:webHidden/>
          </w:rPr>
          <w:t>35</w:t>
        </w:r>
        <w:r>
          <w:rPr>
            <w:webHidden/>
          </w:rPr>
          <w:fldChar w:fldCharType="end"/>
        </w:r>
      </w:hyperlink>
    </w:p>
    <w:p w:rsidR="009F6D6A" w:rsidRDefault="00C176EA" w:rsidP="00737296">
      <w:pPr>
        <w:pStyle w:val="TOC3"/>
        <w:tabs>
          <w:tab w:val="right" w:leader="underscore" w:pos="9288"/>
        </w:tabs>
        <w:spacing w:after="60"/>
        <w:ind w:left="0" w:firstLine="0"/>
        <w:rPr>
          <w:rFonts w:asciiTheme="minorHAnsi" w:eastAsiaTheme="minorEastAsia" w:hAnsiTheme="minorHAnsi" w:cstheme="minorBidi"/>
          <w:noProof/>
          <w:sz w:val="22"/>
          <w:szCs w:val="22"/>
          <w:lang w:val="vi-VN" w:eastAsia="vi-VN"/>
        </w:rPr>
      </w:pPr>
      <w:hyperlink w:anchor="_Toc87619935" w:history="1">
        <w:r w:rsidR="009F6D6A" w:rsidRPr="00287508">
          <w:rPr>
            <w:rStyle w:val="Hyperlink"/>
            <w:noProof/>
          </w:rPr>
          <w:t>1. Tăng cường hiệu lực, hiệu quả thể chế tài chính, huy động các nguồn lực cho đầu tư phát triển kinh tế - xã hội</w:t>
        </w:r>
        <w:r w:rsidR="009F6D6A">
          <w:rPr>
            <w:noProof/>
            <w:webHidden/>
          </w:rPr>
          <w:tab/>
        </w:r>
        <w:r>
          <w:rPr>
            <w:noProof/>
            <w:webHidden/>
          </w:rPr>
          <w:fldChar w:fldCharType="begin"/>
        </w:r>
        <w:r w:rsidR="009F6D6A">
          <w:rPr>
            <w:noProof/>
            <w:webHidden/>
          </w:rPr>
          <w:instrText xml:space="preserve"> PAGEREF _Toc87619935 \h </w:instrText>
        </w:r>
        <w:r>
          <w:rPr>
            <w:noProof/>
            <w:webHidden/>
          </w:rPr>
        </w:r>
        <w:r>
          <w:rPr>
            <w:noProof/>
            <w:webHidden/>
          </w:rPr>
          <w:fldChar w:fldCharType="separate"/>
        </w:r>
        <w:r w:rsidR="00280322">
          <w:rPr>
            <w:noProof/>
            <w:webHidden/>
          </w:rPr>
          <w:t>35</w:t>
        </w:r>
        <w:r>
          <w:rPr>
            <w:noProof/>
            <w:webHidden/>
          </w:rPr>
          <w:fldChar w:fldCharType="end"/>
        </w:r>
      </w:hyperlink>
    </w:p>
    <w:p w:rsidR="009F6D6A" w:rsidRDefault="00C176EA" w:rsidP="00737296">
      <w:pPr>
        <w:pStyle w:val="TOC3"/>
        <w:tabs>
          <w:tab w:val="right" w:leader="underscore" w:pos="9288"/>
        </w:tabs>
        <w:spacing w:after="60"/>
        <w:ind w:left="0" w:firstLine="0"/>
        <w:rPr>
          <w:rFonts w:asciiTheme="minorHAnsi" w:eastAsiaTheme="minorEastAsia" w:hAnsiTheme="minorHAnsi" w:cstheme="minorBidi"/>
          <w:noProof/>
          <w:sz w:val="22"/>
          <w:szCs w:val="22"/>
          <w:lang w:val="vi-VN" w:eastAsia="vi-VN"/>
        </w:rPr>
      </w:pPr>
      <w:hyperlink w:anchor="_Toc87619936" w:history="1">
        <w:r w:rsidR="009F6D6A" w:rsidRPr="00287508">
          <w:rPr>
            <w:rStyle w:val="Hyperlink"/>
            <w:noProof/>
          </w:rPr>
          <w:t>2. Tiếp tục đổi mới chính sách động viên nguồn lực công, đảm bảo nguồn thu ngân sách và cải thiện môi trường đầu tư, kinh doanh</w:t>
        </w:r>
        <w:r w:rsidR="009F6D6A">
          <w:rPr>
            <w:noProof/>
            <w:webHidden/>
          </w:rPr>
          <w:tab/>
        </w:r>
        <w:r>
          <w:rPr>
            <w:noProof/>
            <w:webHidden/>
          </w:rPr>
          <w:fldChar w:fldCharType="begin"/>
        </w:r>
        <w:r w:rsidR="009F6D6A">
          <w:rPr>
            <w:noProof/>
            <w:webHidden/>
          </w:rPr>
          <w:instrText xml:space="preserve"> PAGEREF _Toc87619936 \h </w:instrText>
        </w:r>
        <w:r>
          <w:rPr>
            <w:noProof/>
            <w:webHidden/>
          </w:rPr>
        </w:r>
        <w:r>
          <w:rPr>
            <w:noProof/>
            <w:webHidden/>
          </w:rPr>
          <w:fldChar w:fldCharType="separate"/>
        </w:r>
        <w:r w:rsidR="00280322">
          <w:rPr>
            <w:noProof/>
            <w:webHidden/>
          </w:rPr>
          <w:t>36</w:t>
        </w:r>
        <w:r>
          <w:rPr>
            <w:noProof/>
            <w:webHidden/>
          </w:rPr>
          <w:fldChar w:fldCharType="end"/>
        </w:r>
      </w:hyperlink>
    </w:p>
    <w:p w:rsidR="009F6D6A" w:rsidRDefault="00C176EA" w:rsidP="00737296">
      <w:pPr>
        <w:pStyle w:val="TOC3"/>
        <w:tabs>
          <w:tab w:val="right" w:leader="underscore" w:pos="9288"/>
        </w:tabs>
        <w:spacing w:after="60"/>
        <w:ind w:left="0" w:firstLine="0"/>
        <w:rPr>
          <w:rFonts w:asciiTheme="minorHAnsi" w:eastAsiaTheme="minorEastAsia" w:hAnsiTheme="minorHAnsi" w:cstheme="minorBidi"/>
          <w:noProof/>
          <w:sz w:val="22"/>
          <w:szCs w:val="22"/>
          <w:lang w:val="vi-VN" w:eastAsia="vi-VN"/>
        </w:rPr>
      </w:pPr>
      <w:hyperlink w:anchor="_Toc87619937" w:history="1">
        <w:r w:rsidR="009F6D6A" w:rsidRPr="00287508">
          <w:rPr>
            <w:rStyle w:val="Hyperlink"/>
            <w:noProof/>
          </w:rPr>
          <w:t>3. Tăng cường hiệu quả phân bổ, quản lý, sử dụng nguồn lực tài chính – NSNN với quá trình phát triển kinh tế - xã hội</w:t>
        </w:r>
        <w:r w:rsidR="009F6D6A">
          <w:rPr>
            <w:noProof/>
            <w:webHidden/>
          </w:rPr>
          <w:tab/>
        </w:r>
        <w:r>
          <w:rPr>
            <w:noProof/>
            <w:webHidden/>
          </w:rPr>
          <w:fldChar w:fldCharType="begin"/>
        </w:r>
        <w:r w:rsidR="009F6D6A">
          <w:rPr>
            <w:noProof/>
            <w:webHidden/>
          </w:rPr>
          <w:instrText xml:space="preserve"> PAGEREF _Toc87619937 \h </w:instrText>
        </w:r>
        <w:r>
          <w:rPr>
            <w:noProof/>
            <w:webHidden/>
          </w:rPr>
        </w:r>
        <w:r>
          <w:rPr>
            <w:noProof/>
            <w:webHidden/>
          </w:rPr>
          <w:fldChar w:fldCharType="separate"/>
        </w:r>
        <w:r w:rsidR="00280322">
          <w:rPr>
            <w:noProof/>
            <w:webHidden/>
          </w:rPr>
          <w:t>36</w:t>
        </w:r>
        <w:r>
          <w:rPr>
            <w:noProof/>
            <w:webHidden/>
          </w:rPr>
          <w:fldChar w:fldCharType="end"/>
        </w:r>
      </w:hyperlink>
    </w:p>
    <w:p w:rsidR="009F6D6A" w:rsidRDefault="00C176EA" w:rsidP="00737296">
      <w:pPr>
        <w:pStyle w:val="TOC3"/>
        <w:tabs>
          <w:tab w:val="right" w:leader="underscore" w:pos="9288"/>
        </w:tabs>
        <w:spacing w:after="60"/>
        <w:ind w:left="0" w:firstLine="0"/>
        <w:rPr>
          <w:rFonts w:asciiTheme="minorHAnsi" w:eastAsiaTheme="minorEastAsia" w:hAnsiTheme="minorHAnsi" w:cstheme="minorBidi"/>
          <w:noProof/>
          <w:sz w:val="22"/>
          <w:szCs w:val="22"/>
          <w:lang w:val="vi-VN" w:eastAsia="vi-VN"/>
        </w:rPr>
      </w:pPr>
      <w:hyperlink w:anchor="_Toc87619938" w:history="1">
        <w:r w:rsidR="009F6D6A" w:rsidRPr="00287508">
          <w:rPr>
            <w:rStyle w:val="Hyperlink"/>
            <w:noProof/>
          </w:rPr>
          <w:t>4. Quản lý chặt chẽ, hiệu quả bội chi, nợ công, phù hợp với các mục tiêu phát triển kinh tế-xã hội, khả năng vay - trả nợ, từng bước cải thiện dư địa chính sách tài khóa, nâng cao khả năng chống chịu về tài chính ngân sách</w:t>
        </w:r>
        <w:r w:rsidR="009F6D6A">
          <w:rPr>
            <w:noProof/>
            <w:webHidden/>
          </w:rPr>
          <w:tab/>
        </w:r>
        <w:r>
          <w:rPr>
            <w:noProof/>
            <w:webHidden/>
          </w:rPr>
          <w:fldChar w:fldCharType="begin"/>
        </w:r>
        <w:r w:rsidR="009F6D6A">
          <w:rPr>
            <w:noProof/>
            <w:webHidden/>
          </w:rPr>
          <w:instrText xml:space="preserve"> PAGEREF _Toc87619938 \h </w:instrText>
        </w:r>
        <w:r>
          <w:rPr>
            <w:noProof/>
            <w:webHidden/>
          </w:rPr>
        </w:r>
        <w:r>
          <w:rPr>
            <w:noProof/>
            <w:webHidden/>
          </w:rPr>
          <w:fldChar w:fldCharType="separate"/>
        </w:r>
        <w:r w:rsidR="00280322">
          <w:rPr>
            <w:noProof/>
            <w:webHidden/>
          </w:rPr>
          <w:t>37</w:t>
        </w:r>
        <w:r>
          <w:rPr>
            <w:noProof/>
            <w:webHidden/>
          </w:rPr>
          <w:fldChar w:fldCharType="end"/>
        </w:r>
      </w:hyperlink>
    </w:p>
    <w:p w:rsidR="009F6D6A" w:rsidRDefault="00C176EA" w:rsidP="00737296">
      <w:pPr>
        <w:pStyle w:val="TOC3"/>
        <w:tabs>
          <w:tab w:val="right" w:leader="underscore" w:pos="9288"/>
        </w:tabs>
        <w:spacing w:after="60"/>
        <w:ind w:left="0" w:firstLine="0"/>
        <w:rPr>
          <w:rFonts w:asciiTheme="minorHAnsi" w:eastAsiaTheme="minorEastAsia" w:hAnsiTheme="minorHAnsi" w:cstheme="minorBidi"/>
          <w:noProof/>
          <w:sz w:val="22"/>
          <w:szCs w:val="22"/>
          <w:lang w:val="vi-VN" w:eastAsia="vi-VN"/>
        </w:rPr>
      </w:pPr>
      <w:hyperlink w:anchor="_Toc87619939" w:history="1">
        <w:r w:rsidR="009F6D6A" w:rsidRPr="00287508">
          <w:rPr>
            <w:rStyle w:val="Hyperlink"/>
            <w:noProof/>
          </w:rPr>
          <w:t>5. Đẩy mạnh đổi mới cơ chế tài chính đối với đơn vị sự nghiệp công lập cùng với đa dạng hóa nguồn lực xã hội phát triển dịch vụ công</w:t>
        </w:r>
        <w:r w:rsidR="009F6D6A">
          <w:rPr>
            <w:noProof/>
            <w:webHidden/>
          </w:rPr>
          <w:tab/>
        </w:r>
        <w:r>
          <w:rPr>
            <w:noProof/>
            <w:webHidden/>
          </w:rPr>
          <w:fldChar w:fldCharType="begin"/>
        </w:r>
        <w:r w:rsidR="009F6D6A">
          <w:rPr>
            <w:noProof/>
            <w:webHidden/>
          </w:rPr>
          <w:instrText xml:space="preserve"> PAGEREF _Toc87619939 \h </w:instrText>
        </w:r>
        <w:r>
          <w:rPr>
            <w:noProof/>
            <w:webHidden/>
          </w:rPr>
        </w:r>
        <w:r>
          <w:rPr>
            <w:noProof/>
            <w:webHidden/>
          </w:rPr>
          <w:fldChar w:fldCharType="separate"/>
        </w:r>
        <w:r w:rsidR="00280322">
          <w:rPr>
            <w:noProof/>
            <w:webHidden/>
          </w:rPr>
          <w:t>38</w:t>
        </w:r>
        <w:r>
          <w:rPr>
            <w:noProof/>
            <w:webHidden/>
          </w:rPr>
          <w:fldChar w:fldCharType="end"/>
        </w:r>
      </w:hyperlink>
    </w:p>
    <w:p w:rsidR="009F6D6A" w:rsidRDefault="00C176EA" w:rsidP="00737296">
      <w:pPr>
        <w:pStyle w:val="TOC3"/>
        <w:tabs>
          <w:tab w:val="right" w:leader="underscore" w:pos="9288"/>
        </w:tabs>
        <w:spacing w:after="60"/>
        <w:ind w:left="0" w:firstLine="0"/>
        <w:rPr>
          <w:rFonts w:asciiTheme="minorHAnsi" w:eastAsiaTheme="minorEastAsia" w:hAnsiTheme="minorHAnsi" w:cstheme="minorBidi"/>
          <w:noProof/>
          <w:sz w:val="22"/>
          <w:szCs w:val="22"/>
          <w:lang w:val="vi-VN" w:eastAsia="vi-VN"/>
        </w:rPr>
      </w:pPr>
      <w:hyperlink w:anchor="_Toc87619940" w:history="1">
        <w:r w:rsidR="009F6D6A" w:rsidRPr="00287508">
          <w:rPr>
            <w:rStyle w:val="Hyperlink"/>
            <w:noProof/>
          </w:rPr>
          <w:t>6. Đẩy mạnh việc thực hiện tái cấu trúc doanh nghiệp nhà nước; đổi mới quản lý vốn nhà nước đầu tư tại doanh nghiệp</w:t>
        </w:r>
        <w:r w:rsidR="009F6D6A">
          <w:rPr>
            <w:noProof/>
            <w:webHidden/>
          </w:rPr>
          <w:tab/>
        </w:r>
        <w:r>
          <w:rPr>
            <w:noProof/>
            <w:webHidden/>
          </w:rPr>
          <w:fldChar w:fldCharType="begin"/>
        </w:r>
        <w:r w:rsidR="009F6D6A">
          <w:rPr>
            <w:noProof/>
            <w:webHidden/>
          </w:rPr>
          <w:instrText xml:space="preserve"> PAGEREF _Toc87619940 \h </w:instrText>
        </w:r>
        <w:r>
          <w:rPr>
            <w:noProof/>
            <w:webHidden/>
          </w:rPr>
        </w:r>
        <w:r>
          <w:rPr>
            <w:noProof/>
            <w:webHidden/>
          </w:rPr>
          <w:fldChar w:fldCharType="separate"/>
        </w:r>
        <w:r w:rsidR="00280322">
          <w:rPr>
            <w:noProof/>
            <w:webHidden/>
          </w:rPr>
          <w:t>39</w:t>
        </w:r>
        <w:r>
          <w:rPr>
            <w:noProof/>
            <w:webHidden/>
          </w:rPr>
          <w:fldChar w:fldCharType="end"/>
        </w:r>
      </w:hyperlink>
    </w:p>
    <w:p w:rsidR="009F6D6A" w:rsidRDefault="00C176EA" w:rsidP="00737296">
      <w:pPr>
        <w:pStyle w:val="TOC3"/>
        <w:tabs>
          <w:tab w:val="right" w:leader="underscore" w:pos="9288"/>
        </w:tabs>
        <w:spacing w:after="60"/>
        <w:ind w:left="0" w:firstLine="0"/>
        <w:rPr>
          <w:rFonts w:asciiTheme="minorHAnsi" w:eastAsiaTheme="minorEastAsia" w:hAnsiTheme="minorHAnsi" w:cstheme="minorBidi"/>
          <w:noProof/>
          <w:sz w:val="22"/>
          <w:szCs w:val="22"/>
          <w:lang w:val="vi-VN" w:eastAsia="vi-VN"/>
        </w:rPr>
      </w:pPr>
      <w:hyperlink w:anchor="_Toc87619941" w:history="1">
        <w:r w:rsidR="009F6D6A" w:rsidRPr="00287508">
          <w:rPr>
            <w:rStyle w:val="Hyperlink"/>
            <w:noProof/>
          </w:rPr>
          <w:t>7. Tăng cường năng lực giám sát tài chính – ngân sách, đảm bảo an ninh, an toàn tài chính công</w:t>
        </w:r>
        <w:r w:rsidR="009F6D6A">
          <w:rPr>
            <w:noProof/>
            <w:webHidden/>
          </w:rPr>
          <w:tab/>
        </w:r>
        <w:r>
          <w:rPr>
            <w:noProof/>
            <w:webHidden/>
          </w:rPr>
          <w:fldChar w:fldCharType="begin"/>
        </w:r>
        <w:r w:rsidR="009F6D6A">
          <w:rPr>
            <w:noProof/>
            <w:webHidden/>
          </w:rPr>
          <w:instrText xml:space="preserve"> PAGEREF _Toc87619941 \h </w:instrText>
        </w:r>
        <w:r>
          <w:rPr>
            <w:noProof/>
            <w:webHidden/>
          </w:rPr>
        </w:r>
        <w:r>
          <w:rPr>
            <w:noProof/>
            <w:webHidden/>
          </w:rPr>
          <w:fldChar w:fldCharType="separate"/>
        </w:r>
        <w:r w:rsidR="00280322">
          <w:rPr>
            <w:noProof/>
            <w:webHidden/>
          </w:rPr>
          <w:t>39</w:t>
        </w:r>
        <w:r>
          <w:rPr>
            <w:noProof/>
            <w:webHidden/>
          </w:rPr>
          <w:fldChar w:fldCharType="end"/>
        </w:r>
      </w:hyperlink>
    </w:p>
    <w:p w:rsidR="00D15FF8" w:rsidRPr="00737296" w:rsidRDefault="00C176EA" w:rsidP="00737296">
      <w:pPr>
        <w:pStyle w:val="Title"/>
        <w:spacing w:after="60"/>
        <w:ind w:firstLine="0"/>
        <w:rPr>
          <w:sz w:val="2"/>
        </w:rPr>
        <w:sectPr w:rsidR="00D15FF8" w:rsidRPr="00737296" w:rsidSect="00737296">
          <w:headerReference w:type="default" r:id="rId10"/>
          <w:footerReference w:type="default" r:id="rId11"/>
          <w:headerReference w:type="first" r:id="rId12"/>
          <w:footerReference w:type="first" r:id="rId13"/>
          <w:pgSz w:w="11907" w:h="16840" w:code="9"/>
          <w:pgMar w:top="1077" w:right="1021" w:bottom="1021" w:left="1588" w:header="510" w:footer="266" w:gutter="0"/>
          <w:pgNumType w:start="1" w:chapStyle="1"/>
          <w:cols w:space="720"/>
          <w:titlePg/>
          <w:docGrid w:linePitch="381"/>
        </w:sectPr>
      </w:pPr>
      <w:r>
        <w:fldChar w:fldCharType="end"/>
      </w:r>
    </w:p>
    <w:p w:rsidR="00D835BD" w:rsidRPr="00F5083C" w:rsidRDefault="0008064B" w:rsidP="007E13B0">
      <w:pPr>
        <w:pStyle w:val="Title"/>
      </w:pPr>
      <w:bookmarkStart w:id="3" w:name="_Toc87619909"/>
      <w:r w:rsidRPr="00F5083C">
        <w:lastRenderedPageBreak/>
        <w:t>Phần I</w:t>
      </w:r>
      <w:bookmarkEnd w:id="2"/>
      <w:bookmarkEnd w:id="3"/>
    </w:p>
    <w:p w:rsidR="00D835BD" w:rsidRPr="00F5083C" w:rsidRDefault="0008064B" w:rsidP="007E13B0">
      <w:pPr>
        <w:pStyle w:val="Title"/>
      </w:pPr>
      <w:bookmarkStart w:id="4" w:name="_Toc62657704"/>
      <w:bookmarkStart w:id="5" w:name="_Toc87619910"/>
      <w:r w:rsidRPr="00F5083C">
        <w:t xml:space="preserve">ĐÁNH GIÁ CÔNG TÁC QUẢN LÝ NỢ VÀ GIÁM SÁT RỦI RO TÀI KHÓA NGÂN SÁCH ĐỊA PHƯƠNG GIAI ĐOẠN </w:t>
      </w:r>
      <w:r w:rsidR="0026450F">
        <w:t>2016 - 2020</w:t>
      </w:r>
      <w:bookmarkEnd w:id="4"/>
      <w:bookmarkEnd w:id="5"/>
    </w:p>
    <w:p w:rsidR="00211A38" w:rsidRPr="00F60C82" w:rsidRDefault="0008064B" w:rsidP="007E13B0">
      <w:pPr>
        <w:pStyle w:val="Heading1"/>
      </w:pPr>
      <w:bookmarkStart w:id="6" w:name="_Toc62654320"/>
      <w:bookmarkStart w:id="7" w:name="_Toc62657705"/>
      <w:bookmarkStart w:id="8" w:name="_Toc87619911"/>
      <w:r w:rsidRPr="00F60C82">
        <w:t>I. THỰC TRẠNG PHÁT TRIỂN KINH TẾ</w:t>
      </w:r>
      <w:r w:rsidR="00D57585" w:rsidRPr="00F60C82">
        <w:t xml:space="preserve"> </w:t>
      </w:r>
      <w:r w:rsidRPr="00F60C82">
        <w:t>-</w:t>
      </w:r>
      <w:r w:rsidR="00D57585" w:rsidRPr="00F60C82">
        <w:t xml:space="preserve"> </w:t>
      </w:r>
      <w:r w:rsidRPr="00F60C82">
        <w:t xml:space="preserve">XÃ HỘI GIAI ĐOẠN </w:t>
      </w:r>
      <w:r w:rsidR="0026450F" w:rsidRPr="00F60C82">
        <w:t xml:space="preserve">2016 </w:t>
      </w:r>
      <w:r w:rsidR="00211A38" w:rsidRPr="00F60C82">
        <w:t>–</w:t>
      </w:r>
      <w:r w:rsidR="0026450F" w:rsidRPr="00F60C82">
        <w:t xml:space="preserve"> 2020</w:t>
      </w:r>
      <w:bookmarkStart w:id="9" w:name="_Toc62654321"/>
      <w:bookmarkStart w:id="10" w:name="_Toc62657706"/>
      <w:bookmarkStart w:id="11" w:name="_Toc53064580"/>
      <w:bookmarkEnd w:id="1"/>
      <w:bookmarkEnd w:id="6"/>
      <w:bookmarkEnd w:id="7"/>
      <w:bookmarkEnd w:id="8"/>
    </w:p>
    <w:p w:rsidR="00D835BD" w:rsidRPr="00F60C82" w:rsidRDefault="0008064B" w:rsidP="007E13B0">
      <w:pPr>
        <w:pStyle w:val="Heading2"/>
      </w:pPr>
      <w:bookmarkStart w:id="12" w:name="_Toc87619912"/>
      <w:r w:rsidRPr="00F60C82">
        <w:t>1. Tổng quan phát triển kinh tế - xã hội</w:t>
      </w:r>
      <w:bookmarkEnd w:id="9"/>
      <w:bookmarkEnd w:id="10"/>
      <w:bookmarkEnd w:id="12"/>
      <w:r w:rsidRPr="00F60C82">
        <w:t xml:space="preserve"> </w:t>
      </w:r>
    </w:p>
    <w:p w:rsidR="00E83DDE" w:rsidRPr="000331A6" w:rsidRDefault="0008064B" w:rsidP="007E13B0">
      <w:pPr>
        <w:pStyle w:val="norm"/>
      </w:pPr>
      <w:r w:rsidRPr="000331A6">
        <w:t xml:space="preserve">Thực hiện công cuộc đổi mới, Việt Nam từ một trong những quốc gia nghèo nhất trên thế giới trở thành quốc gia thu nhập trung bình, tổng sản phẩm quốc nội (GDP) đã tăng trên </w:t>
      </w:r>
      <w:r w:rsidR="00FE6B36" w:rsidRPr="006D3B77">
        <w:rPr>
          <w:b/>
        </w:rPr>
        <w:t>5</w:t>
      </w:r>
      <w:r w:rsidRPr="000331A6">
        <w:t xml:space="preserve"> lần, thu nhập theo đầu người đã tăng gấp </w:t>
      </w:r>
      <w:r w:rsidR="00FE6B36" w:rsidRPr="006D3B77">
        <w:rPr>
          <w:b/>
        </w:rPr>
        <w:t>4</w:t>
      </w:r>
      <w:r w:rsidRPr="000331A6">
        <w:t xml:space="preserve"> lần so với năm 1986, tỷ lệ hộ nghèo tiếp cận đa chiều giai đoạn 2016 - 2020 đã giảm đáng kể</w:t>
      </w:r>
      <w:r w:rsidRPr="00833D71">
        <w:rPr>
          <w:rStyle w:val="FootnoteReference"/>
          <w:b/>
        </w:rPr>
        <w:footnoteReference w:id="3"/>
      </w:r>
      <w:r w:rsidRPr="000331A6">
        <w:t xml:space="preserve">, từng bước hội nhập vào hệ thống tài chính và thương mại toàn cầu, thu hút được một lượng lớn vốn đầu tư trực tiếp nước ngoài và kiều hối. </w:t>
      </w:r>
      <w:r w:rsidR="00F42172">
        <w:t>N</w:t>
      </w:r>
      <w:r w:rsidRPr="000331A6">
        <w:t xml:space="preserve">gười dân có trình độ giáo dục tốt hơn và tuổi thọ cao hơn hầu hết các quốc gia có thu nhập đầu người ở mức tương đương. </w:t>
      </w:r>
      <w:r w:rsidR="00F42172">
        <w:t xml:space="preserve">Chăm sóc sức khỏe người dân được </w:t>
      </w:r>
      <w:r w:rsidRPr="000331A6">
        <w:t xml:space="preserve">cải thiện qua việc hoàn thành các Mục tiêu phát triển thiên niên kỷ (MDG) về y tế. </w:t>
      </w:r>
    </w:p>
    <w:p w:rsidR="00D835BD" w:rsidRPr="000331A6" w:rsidRDefault="0008064B" w:rsidP="007E13B0">
      <w:pPr>
        <w:pStyle w:val="norm"/>
      </w:pPr>
      <w:r w:rsidRPr="000331A6">
        <w:t>Mở cửa hội nhập sâu vào nền kinh tế thế giới dẫn đến</w:t>
      </w:r>
      <w:r w:rsidR="001212B8" w:rsidRPr="000331A6">
        <w:t xml:space="preserve"> tỷ trọng</w:t>
      </w:r>
      <w:r w:rsidRPr="000331A6">
        <w:t xml:space="preserve"> nguồn thu từ hoạt động xuất nhập khẩu</w:t>
      </w:r>
      <w:r w:rsidR="001212B8" w:rsidRPr="000331A6">
        <w:t xml:space="preserve"> so với tổng số thu ngân sách nhà nước (NSNN)</w:t>
      </w:r>
      <w:r w:rsidRPr="000331A6">
        <w:t xml:space="preserve"> giả</w:t>
      </w:r>
      <w:r w:rsidR="00995595">
        <w:t>m</w:t>
      </w:r>
      <w:r w:rsidRPr="000331A6">
        <w:t>. Chính sách tài khoá, bao gồm chính sách ưu đãi thuế nhằm đối phó tác động của các cú sốc</w:t>
      </w:r>
      <w:r w:rsidR="00E83DDE" w:rsidRPr="000331A6">
        <w:t>, thiên tai, dịch bệnh</w:t>
      </w:r>
      <w:r w:rsidRPr="000331A6">
        <w:t xml:space="preserve">, thúc đẩy đầu tư và tăng </w:t>
      </w:r>
      <w:r w:rsidRPr="00211A38">
        <w:t>trưởng</w:t>
      </w:r>
      <w:r w:rsidRPr="000331A6">
        <w:t xml:space="preserve"> cũng dẫn đến tăng thu NSNN có xu hướng chậm lại trong những năm gần đây. </w:t>
      </w:r>
    </w:p>
    <w:p w:rsidR="00D835BD" w:rsidRPr="00211A38" w:rsidRDefault="0008064B" w:rsidP="007E13B0">
      <w:pPr>
        <w:pStyle w:val="norm"/>
      </w:pPr>
      <w:r w:rsidRPr="00211A38">
        <w:t>Cùng với sự phát triển kinh tế - xã hội, nhu cầu chi NSNN tăng cao,</w:t>
      </w:r>
      <w:r w:rsidR="00220DD9" w:rsidRPr="00211A38">
        <w:t xml:space="preserve"> b</w:t>
      </w:r>
      <w:r w:rsidRPr="00211A38">
        <w:t xml:space="preserve">ội chi </w:t>
      </w:r>
      <w:r w:rsidR="00220DD9" w:rsidRPr="00211A38">
        <w:t>NSNN</w:t>
      </w:r>
      <w:r w:rsidRPr="00211A38">
        <w:t xml:space="preserve"> liên tục ở mức cao, nợ công tăng nhanh chóng, lên đến sát ngưỡng an toàn Quốc hội cho phép năm 2016, khiến cho dư địa vay nợ bị thu hẹp lại, trong khi nguồn viện trợ phát triển chính thức (ODA) giảm xuống càng cho thấy tầm quan trọng của việc phải xây dựng một lộ trình quản lý ngân sách bền vững. Chính phủ đã tích cực cơ cấu lại nợ công theo hướng nâng tỷ trọng vay trong nước với kỳ hạn vay dài hơn và kiểm soát vay nợ trong phạm vi Quốc hội quyết định hàng năm. </w:t>
      </w:r>
    </w:p>
    <w:p w:rsidR="00D835BD" w:rsidRDefault="0008064B" w:rsidP="007E13B0">
      <w:pPr>
        <w:pStyle w:val="norm"/>
      </w:pPr>
      <w:r w:rsidRPr="00211A38">
        <w:t>Tình trạng nguồn lực công bị dàn trải (bao gồm cả các nguồn lực ngoài ngân sách), quản lý phân tán từng bước được khắc phục. Các hệ thống quản lý, giám sát rủi ro tài khóa, tài chính công và thông tin quản lý, cùng với việc phối hợp giữa các Bộ, địa phương đã được cải thiện, nhưng cần được tiếp tục hoàn thiện để bắt kịp với những yêu cầu, nhiệm vụ phát triển kinh tế - xã hội.</w:t>
      </w:r>
    </w:p>
    <w:p w:rsidR="00D835BD" w:rsidRPr="000331A6" w:rsidRDefault="0008064B" w:rsidP="007E13B0">
      <w:pPr>
        <w:pStyle w:val="Heading2"/>
      </w:pPr>
      <w:bookmarkStart w:id="13" w:name="_Toc62654322"/>
      <w:bookmarkStart w:id="14" w:name="_Toc62657707"/>
      <w:bookmarkStart w:id="15" w:name="_Toc87619913"/>
      <w:r w:rsidRPr="000331A6">
        <w:t xml:space="preserve">2. Thực trạng phát </w:t>
      </w:r>
      <w:r w:rsidRPr="00662D3A">
        <w:t>triển</w:t>
      </w:r>
      <w:r w:rsidRPr="000331A6">
        <w:t xml:space="preserve"> kinh tế - xã hội giai đoạn 2016</w:t>
      </w:r>
      <w:r w:rsidR="00F84D8F">
        <w:t xml:space="preserve"> - 2</w:t>
      </w:r>
      <w:r w:rsidRPr="000331A6">
        <w:t>020</w:t>
      </w:r>
      <w:bookmarkEnd w:id="11"/>
      <w:bookmarkEnd w:id="13"/>
      <w:bookmarkEnd w:id="14"/>
      <w:bookmarkEnd w:id="15"/>
    </w:p>
    <w:p w:rsidR="00D835BD" w:rsidRPr="000331A6" w:rsidRDefault="0008064B" w:rsidP="007E13B0">
      <w:pPr>
        <w:pStyle w:val="norm"/>
      </w:pPr>
      <w:r w:rsidRPr="000331A6">
        <w:t>Kinh tế, thương mại thế giới phục hồi và phát triển vào những năm đầu kỳ</w:t>
      </w:r>
      <w:r w:rsidRPr="00833D71">
        <w:rPr>
          <w:rStyle w:val="FootnoteReference"/>
          <w:b/>
        </w:rPr>
        <w:footnoteReference w:id="4"/>
      </w:r>
      <w:r w:rsidRPr="000331A6">
        <w:t xml:space="preserve">; cuộc Cách mạng công </w:t>
      </w:r>
      <w:r w:rsidRPr="00662D3A">
        <w:t>nghiệp</w:t>
      </w:r>
      <w:r w:rsidRPr="000331A6">
        <w:t xml:space="preserve"> lần thứ tư đã và đang tạo ra những thay đổi mang tính bước ngoặt, ảnh hưởng sâu rộng tới kinh tế - xã hội ở tất cả các quốc gia. Tuy </w:t>
      </w:r>
      <w:r w:rsidRPr="000331A6">
        <w:lastRenderedPageBreak/>
        <w:t xml:space="preserve">nhiên, vấn đề khủng hoảng nợ công ở một số nước, sự kiện Brexit, cạnh tranh địa chính trị, kinh tế, thương mại giữa một số nền kinh tế lớn gia tăng; căng thẳng ở Biển Đông và gần đây là đại dịch Covid-19, cùng với thiên tai, biến đổi khí hậu, môi trường đã và đang có tác động tiêu cực tới kinh tế, thương mại và ổn định chính trị, xã hội ở các nước. Tăng trưởng kinh tế và thương mại toàn cầu chững lại từ năm 2019 và suy giảm vào năm 2020. </w:t>
      </w:r>
    </w:p>
    <w:p w:rsidR="00D835BD" w:rsidRPr="000331A6" w:rsidRDefault="0008064B" w:rsidP="007E13B0">
      <w:pPr>
        <w:pStyle w:val="norm"/>
      </w:pPr>
      <w:r w:rsidRPr="000331A6">
        <w:t>Thực hiện Nghị quyết Đại hội lần thứ XII của Đảng</w:t>
      </w:r>
      <w:r w:rsidR="006A623C" w:rsidRPr="000331A6">
        <w:t>, Việt Nam</w:t>
      </w:r>
      <w:r w:rsidRPr="000331A6">
        <w:t xml:space="preserve"> đã đạt được những kết </w:t>
      </w:r>
      <w:r w:rsidRPr="00F60C82">
        <w:t>quả</w:t>
      </w:r>
      <w:r w:rsidRPr="000331A6">
        <w:t xml:space="preserve"> quan trọng, tương đối toàn diện. </w:t>
      </w:r>
      <w:r w:rsidRPr="000331A6">
        <w:rPr>
          <w:rFonts w:eastAsia="Times New Roman"/>
          <w:color w:val="333333"/>
        </w:rPr>
        <w:t xml:space="preserve">Dân số trung bình đến năm 2020 khoảng </w:t>
      </w:r>
      <w:r w:rsidRPr="000331A6">
        <w:rPr>
          <w:rFonts w:eastAsia="Times New Roman"/>
          <w:b/>
          <w:color w:val="333333"/>
        </w:rPr>
        <w:t>97,</w:t>
      </w:r>
      <w:r w:rsidR="004768F7" w:rsidRPr="000331A6">
        <w:rPr>
          <w:rFonts w:eastAsia="Times New Roman"/>
          <w:b/>
          <w:color w:val="333333"/>
        </w:rPr>
        <w:t>6</w:t>
      </w:r>
      <w:r w:rsidRPr="000331A6">
        <w:rPr>
          <w:rFonts w:eastAsia="Times New Roman"/>
          <w:color w:val="333333"/>
        </w:rPr>
        <w:t xml:space="preserve"> triệu người; k</w:t>
      </w:r>
      <w:r w:rsidRPr="000331A6">
        <w:t xml:space="preserve">inh tế vĩ mô ổn định hơn, </w:t>
      </w:r>
      <w:r w:rsidR="00844EA6" w:rsidRPr="000331A6">
        <w:t>m</w:t>
      </w:r>
      <w:r w:rsidRPr="000331A6">
        <w:t xml:space="preserve">ặc dù năm 2020 kinh tế chịu ảnh hưởng nặng nề của dịch bệnh Covid-19 nhưng tốc độ tăng trưởng đạt </w:t>
      </w:r>
      <w:r w:rsidRPr="000331A6">
        <w:rPr>
          <w:b/>
        </w:rPr>
        <w:t>2,91%</w:t>
      </w:r>
      <w:r w:rsidRPr="000331A6">
        <w:t>, bình quân 5 năm 2016 - 2020 đạt</w:t>
      </w:r>
      <w:r w:rsidR="00844EA6" w:rsidRPr="000331A6">
        <w:t xml:space="preserve"> </w:t>
      </w:r>
      <w:r w:rsidR="00844EA6" w:rsidRPr="000331A6">
        <w:rPr>
          <w:b/>
        </w:rPr>
        <w:t>6</w:t>
      </w:r>
      <w:r w:rsidRPr="000331A6">
        <w:rPr>
          <w:b/>
        </w:rPr>
        <w:t>,6%</w:t>
      </w:r>
      <w:r w:rsidR="009F2F81" w:rsidRPr="00833D71">
        <w:rPr>
          <w:rStyle w:val="FootnoteReference"/>
          <w:b/>
        </w:rPr>
        <w:footnoteReference w:id="5"/>
      </w:r>
      <w:r w:rsidRPr="00833D71">
        <w:rPr>
          <w:b/>
        </w:rPr>
        <w:t> </w:t>
      </w:r>
      <w:r w:rsidRPr="000331A6">
        <w:t>và thuộc nhóm các nước tăng trưởng cao nhất khu vực, thế giới</w:t>
      </w:r>
      <w:r w:rsidR="009F2F81" w:rsidRPr="000331A6">
        <w:t xml:space="preserve">; </w:t>
      </w:r>
      <w:r w:rsidRPr="000331A6">
        <w:t xml:space="preserve">các địa phương, đặc biệt là các địa phương </w:t>
      </w:r>
      <w:r w:rsidR="009F2F81" w:rsidRPr="000331A6">
        <w:t xml:space="preserve">vùng </w:t>
      </w:r>
      <w:r w:rsidRPr="000331A6">
        <w:t>trọng điểm</w:t>
      </w:r>
      <w:r w:rsidR="009F2F81" w:rsidRPr="000331A6">
        <w:t xml:space="preserve"> kinh </w:t>
      </w:r>
      <w:r w:rsidR="007F34A9" w:rsidRPr="000331A6">
        <w:t xml:space="preserve">tế </w:t>
      </w:r>
      <w:r w:rsidRPr="000331A6">
        <w:t xml:space="preserve">có mức tăng trưởng GRDP bình quân từ </w:t>
      </w:r>
      <w:r w:rsidR="009F2F81" w:rsidRPr="000331A6">
        <w:rPr>
          <w:b/>
        </w:rPr>
        <w:t>5,9</w:t>
      </w:r>
      <w:r w:rsidRPr="000331A6">
        <w:rPr>
          <w:b/>
        </w:rPr>
        <w:t>%</w:t>
      </w:r>
      <w:r w:rsidR="009F2F81" w:rsidRPr="00833D71">
        <w:rPr>
          <w:rStyle w:val="FootnoteReference"/>
          <w:b/>
        </w:rPr>
        <w:footnoteReference w:id="6"/>
      </w:r>
      <w:r w:rsidRPr="000331A6">
        <w:t xml:space="preserve"> trở lên đóng góp đáng kể vào quy mô GDP cả nước. </w:t>
      </w:r>
      <w:r w:rsidR="003D698A">
        <w:t>K</w:t>
      </w:r>
      <w:r w:rsidRPr="000331A6">
        <w:t>hu vực công nghiệp, xây dựng và dịch vụ</w:t>
      </w:r>
      <w:r w:rsidR="00843B21">
        <w:rPr>
          <w:rStyle w:val="FootnoteReference"/>
        </w:rPr>
        <w:footnoteReference w:id="7"/>
      </w:r>
      <w:r w:rsidRPr="000331A6">
        <w:t xml:space="preserve"> tiếp tục giữ vai trò dẫn dắt, đóng góp chủ yếu vào mức tăng trưởng chung.</w:t>
      </w:r>
      <w:r w:rsidR="003D698A">
        <w:t xml:space="preserve"> </w:t>
      </w:r>
      <w:r w:rsidRPr="000331A6">
        <w:t>Quy mô GDP đến năm 2020 đạt</w:t>
      </w:r>
      <w:r w:rsidR="00E14B8C" w:rsidRPr="000331A6">
        <w:t xml:space="preserve"> khoảng </w:t>
      </w:r>
      <w:r w:rsidR="00E14B8C" w:rsidRPr="000331A6">
        <w:rPr>
          <w:b/>
        </w:rPr>
        <w:t>8,1</w:t>
      </w:r>
      <w:r w:rsidR="00E14B8C" w:rsidRPr="000331A6">
        <w:t xml:space="preserve"> triệu tỷ đồng</w:t>
      </w:r>
      <w:r w:rsidRPr="000331A6">
        <w:t xml:space="preserve">, tăng khoảng </w:t>
      </w:r>
      <w:r w:rsidRPr="000331A6">
        <w:rPr>
          <w:b/>
        </w:rPr>
        <w:t>1,4</w:t>
      </w:r>
      <w:r w:rsidR="00E14B8C" w:rsidRPr="000331A6">
        <w:rPr>
          <w:b/>
        </w:rPr>
        <w:t>3</w:t>
      </w:r>
      <w:r w:rsidRPr="000331A6">
        <w:t xml:space="preserve"> lần so với năm 201</w:t>
      </w:r>
      <w:r w:rsidR="00E14B8C" w:rsidRPr="000331A6">
        <w:t>6</w:t>
      </w:r>
      <w:r w:rsidRPr="000331A6">
        <w:t xml:space="preserve">; GDP bình quân đầu người khoảng </w:t>
      </w:r>
      <w:r w:rsidR="00E14B8C" w:rsidRPr="000331A6">
        <w:rPr>
          <w:b/>
        </w:rPr>
        <w:t>82,6</w:t>
      </w:r>
      <w:r w:rsidRPr="000331A6">
        <w:rPr>
          <w:b/>
        </w:rPr>
        <w:t>5</w:t>
      </w:r>
      <w:r w:rsidR="00E14B8C" w:rsidRPr="000331A6">
        <w:t xml:space="preserve"> triệu đồng</w:t>
      </w:r>
      <w:r w:rsidRPr="000331A6">
        <w:t xml:space="preserve">/người, gấp khoảng </w:t>
      </w:r>
      <w:r w:rsidRPr="000331A6">
        <w:rPr>
          <w:b/>
        </w:rPr>
        <w:t>1,3</w:t>
      </w:r>
      <w:r w:rsidR="00E14B8C" w:rsidRPr="000331A6">
        <w:rPr>
          <w:b/>
        </w:rPr>
        <w:t>7</w:t>
      </w:r>
      <w:r w:rsidRPr="000331A6">
        <w:t xml:space="preserve"> lần so với năm 201</w:t>
      </w:r>
      <w:r w:rsidR="00E14B8C" w:rsidRPr="000331A6">
        <w:t>6</w:t>
      </w:r>
      <w:r w:rsidRPr="000331A6">
        <w:t xml:space="preserve">. Tỷ lệ tích luỹ tài sản so với GDP theo giá hiện hành đến năm 2020 khoảng </w:t>
      </w:r>
      <w:r w:rsidRPr="000331A6">
        <w:rPr>
          <w:b/>
        </w:rPr>
        <w:t>26,7%.</w:t>
      </w:r>
    </w:p>
    <w:p w:rsidR="006D3B77" w:rsidRPr="00F60C82" w:rsidRDefault="0008064B" w:rsidP="007E13B0">
      <w:pPr>
        <w:pStyle w:val="norm"/>
      </w:pPr>
      <w:r w:rsidRPr="00F60C82">
        <w:t>Hệ thống thể chế được quan tâm hoàn thiện một bước khá căn bản. Kiện toàn tổ chức bộ máy quản lý nhà nước, tinh giản biên chế đạt kết quả bước đầu. Cải cách hành chính được thực hiện quyết liệt, tập trung cắt giảm, đơn giản hóa thủ tục hành chính, điều kiện kinh doanh; môi trường đầu tư kinh doanh được cải thiện rõ nét. Chính sách an sinh xã hội tiếp tục được củng cố, tỷ lệ hộ nghèo giảm nhanh, mở rộng mức độ bao phủ bảo hiểm y tế</w:t>
      </w:r>
      <w:r w:rsidR="00146918" w:rsidRPr="00F60C82">
        <w:t xml:space="preserve"> trên 90%</w:t>
      </w:r>
      <w:r w:rsidRPr="00F60C82">
        <w:t>, tiếp tục điều chỉnh tăng lương khu vực doanh nghiệp</w:t>
      </w:r>
      <w:r w:rsidR="003A6DDC" w:rsidRPr="00F60C82">
        <w:t xml:space="preserve">, </w:t>
      </w:r>
      <w:r w:rsidRPr="00F60C82">
        <w:t xml:space="preserve">lương hưu và trợ cấp người có công. </w:t>
      </w:r>
    </w:p>
    <w:p w:rsidR="00D835BD" w:rsidRPr="00F60C82" w:rsidRDefault="0008064B" w:rsidP="007E13B0">
      <w:pPr>
        <w:pStyle w:val="norm"/>
      </w:pPr>
      <w:r w:rsidRPr="00F60C82">
        <w:t>Tuy nhiên, hạn chế, yếu kém và khó khăn, thách thức là không nhỏ. Nền kinh tế duy trì tốc độ tăng trưởng khá nhưng chưa vững chắc. Tái cơ cấu kinh tế, chuyển đổi mô hình tăng trưởng còn chậm so với yêu cầu. Hệ thống kết cấu hạ tầng</w:t>
      </w:r>
      <w:r w:rsidR="003A0BBE" w:rsidRPr="00F60C82">
        <w:t xml:space="preserve"> kỹ thuật</w:t>
      </w:r>
      <w:r w:rsidRPr="00F60C82">
        <w:t xml:space="preserve"> chưa đáp ứng yêu cầu phát triển. Tốc độ đô thị hóa còn chậm. Sản xuất ngư, nông, lâm nghiệp phần lớn còn manh mún, nhỏ lẻ, năng suất thấp, chưa hình thành nền nông nghiệp sản xuất hàng hóa, quy mô lớn. Việc ứng dụng khoa học công nghệ, nhân rộng mô hình sản xuất, sản phẩm nông nghiệp công nghệ cao còn hạn chế. Thể chế kinh tế - xã hội chưa theo kịp sự phát triển của nền kinh tế, tính ổn định chưa cao; hiệu quả, hiệu lực hệ thống bộ máy hành chính nhà nước còn bất cập. Các đột phá chiến lược và cơ cấu lại nền kinh tế gắn với đổi mới mô </w:t>
      </w:r>
      <w:r w:rsidRPr="00F60C82">
        <w:lastRenderedPageBreak/>
        <w:t xml:space="preserve">hình tăng trưởng chậm. Năng suất, chất lượng, sức cạnh tranh nền kinh tế chưa cao, nguy cơ tụt hậu và rơi vào bẫy thu nhập trung bình; khoảng cách phát triển giữa các địa phương, vùng miền còn khá lớn; chênh lệch giàu nghèo có xu hướng mở rộng; các vấn đề về hạ tầng đô thị, môi trường...; bảo vệ chủ quyền quốc gia, toàn vẹn lãnh thổ còn nhiều khó khăn, thách thức; tình hình an ninh trật tự, an toàn xã hội trên một số địa bàn diễn biến phức tạp. </w:t>
      </w:r>
    </w:p>
    <w:p w:rsidR="00D835BD" w:rsidRPr="000331A6" w:rsidRDefault="0008064B" w:rsidP="007E13B0">
      <w:pPr>
        <w:pStyle w:val="Heading1"/>
      </w:pPr>
      <w:bookmarkStart w:id="16" w:name="_Toc62654323"/>
      <w:bookmarkStart w:id="17" w:name="_Toc62657708"/>
      <w:bookmarkStart w:id="18" w:name="_Toc87619914"/>
      <w:r w:rsidRPr="000331A6">
        <w:t xml:space="preserve">II. </w:t>
      </w:r>
      <w:bookmarkStart w:id="19" w:name="_Toc53064584"/>
      <w:r w:rsidR="00CE25F9" w:rsidRPr="000D7A40">
        <w:t xml:space="preserve">THỰC TRẠNG </w:t>
      </w:r>
      <w:r w:rsidRPr="000D7A40">
        <w:t>CƠ CHẾ, CHÍNH SÁCH HUY ĐỘNG NGUỒN LỰC TÀI CHÍNH</w:t>
      </w:r>
      <w:r w:rsidR="00F2282D" w:rsidRPr="000D7A40">
        <w:t xml:space="preserve"> – NGÂN SÁCH NHÀ NƯỚC</w:t>
      </w:r>
      <w:r w:rsidRPr="000D7A40">
        <w:t xml:space="preserve"> PHÁT TRIỂN KINH TẾ - XÃ HỘI</w:t>
      </w:r>
      <w:r w:rsidR="00E13721" w:rsidRPr="000D7A40">
        <w:t xml:space="preserve"> ĐỊA PHƯƠNG</w:t>
      </w:r>
      <w:r w:rsidRPr="000D7A40">
        <w:t xml:space="preserve"> GIAI ĐOẠN 2016 - 2020</w:t>
      </w:r>
      <w:bookmarkEnd w:id="16"/>
      <w:bookmarkEnd w:id="17"/>
      <w:bookmarkEnd w:id="18"/>
      <w:bookmarkEnd w:id="19"/>
    </w:p>
    <w:p w:rsidR="00D835BD" w:rsidRPr="000331A6" w:rsidRDefault="0008064B" w:rsidP="007E13B0">
      <w:pPr>
        <w:pStyle w:val="norm"/>
      </w:pPr>
      <w:bookmarkStart w:id="20" w:name="_Toc62654324"/>
      <w:r w:rsidRPr="000331A6">
        <w:t xml:space="preserve">Trong thời gian qua, </w:t>
      </w:r>
      <w:r w:rsidR="0061750F">
        <w:t>Quốc hội</w:t>
      </w:r>
      <w:r w:rsidRPr="000331A6">
        <w:t xml:space="preserve">, Chính phủ đã ban hành nhiều cơ chế, chính sách, đổi mới, hoàn thiện hệ thống pháp luật về quản lý tài chính - </w:t>
      </w:r>
      <w:r w:rsidR="00DC1422" w:rsidRPr="000331A6">
        <w:t>NSNN</w:t>
      </w:r>
      <w:r w:rsidR="006125DE" w:rsidRPr="00833D71">
        <w:rPr>
          <w:rStyle w:val="FootnoteReference"/>
          <w:b/>
        </w:rPr>
        <w:footnoteReference w:id="8"/>
      </w:r>
      <w:r w:rsidRPr="000331A6">
        <w:t xml:space="preserve">. </w:t>
      </w:r>
      <w:bookmarkEnd w:id="20"/>
    </w:p>
    <w:p w:rsidR="00D835BD" w:rsidRPr="000331A6" w:rsidRDefault="0008064B" w:rsidP="007E13B0">
      <w:pPr>
        <w:pStyle w:val="Heading2"/>
      </w:pPr>
      <w:bookmarkStart w:id="21" w:name="_Toc62654327"/>
      <w:bookmarkStart w:id="22" w:name="_Toc62657709"/>
      <w:bookmarkStart w:id="23" w:name="_Toc87619915"/>
      <w:r w:rsidRPr="000331A6">
        <w:t>1.</w:t>
      </w:r>
      <w:bookmarkEnd w:id="21"/>
      <w:r w:rsidRPr="000331A6">
        <w:t xml:space="preserve"> </w:t>
      </w:r>
      <w:bookmarkStart w:id="24" w:name="_Toc53064585"/>
      <w:bookmarkStart w:id="25" w:name="_Toc62654328"/>
      <w:r w:rsidRPr="00F60C82">
        <w:t>Cơ</w:t>
      </w:r>
      <w:r w:rsidRPr="000331A6">
        <w:t xml:space="preserve"> chế, chính sách về thu NSNN, chi </w:t>
      </w:r>
      <w:bookmarkEnd w:id="24"/>
      <w:r w:rsidRPr="000331A6">
        <w:t>NSĐP</w:t>
      </w:r>
      <w:bookmarkEnd w:id="22"/>
      <w:bookmarkEnd w:id="23"/>
      <w:bookmarkEnd w:id="25"/>
    </w:p>
    <w:p w:rsidR="00D835BD" w:rsidRPr="00F60C82" w:rsidRDefault="0008064B" w:rsidP="007E13B0">
      <w:pPr>
        <w:pStyle w:val="Heading3"/>
      </w:pPr>
      <w:bookmarkStart w:id="26" w:name="_Toc62654329"/>
      <w:proofErr w:type="gramStart"/>
      <w:r w:rsidRPr="00F60C82">
        <w:t>1.1. Chính sách thu NSNN</w:t>
      </w:r>
      <w:bookmarkEnd w:id="26"/>
      <w:proofErr w:type="gramEnd"/>
    </w:p>
    <w:p w:rsidR="0037211B" w:rsidRPr="00510A0D" w:rsidRDefault="0008064B" w:rsidP="007E13B0">
      <w:pPr>
        <w:pStyle w:val="norm"/>
      </w:pPr>
      <w:r w:rsidRPr="00F60C82">
        <w:t>Quốc hội đã thông qua Luật sửa đổi, bổ sung một số điều của Luật Thuế giá trị gia tăng, Luật Thuế tiêu thụ đặc biệt và Luật Quản lý thuế</w:t>
      </w:r>
      <w:r w:rsidRPr="008E0774">
        <w:rPr>
          <w:rStyle w:val="FootnoteReference"/>
          <w:b/>
        </w:rPr>
        <w:footnoteReference w:id="9"/>
      </w:r>
      <w:r w:rsidR="00181D21">
        <w:t>,</w:t>
      </w:r>
      <w:r w:rsidRPr="00F60C82">
        <w:t xml:space="preserve"> Luật Thuế xuất khẩu, thuế nhập khẩu</w:t>
      </w:r>
      <w:r w:rsidR="00181D21">
        <w:t>,</w:t>
      </w:r>
      <w:r w:rsidRPr="00F60C82">
        <w:t xml:space="preserve"> Nghị quyết số 28/2016/QH14 ngày 11/11/2016 sửa đổi, bổ sung </w:t>
      </w:r>
      <w:r w:rsidRPr="00510A0D">
        <w:t>một số điều của Nghị quyết số 55/2010/QH12 về miễn, giảm thuế sử dụng đất nông nghiệp</w:t>
      </w:r>
      <w:r w:rsidRPr="00181D21">
        <w:rPr>
          <w:rStyle w:val="FootnoteReference"/>
          <w:b/>
        </w:rPr>
        <w:footnoteReference w:id="10"/>
      </w:r>
      <w:r w:rsidRPr="00510A0D">
        <w:t xml:space="preserve">; tiếp tục giảm thuế suất thuế thu nhập doanh nghiệp phổ thông theo Luật thuế thu nhập doanh nghiệp; triển khai thực hiện có hiệu quả một số chính sách thu mới về lệ phí trước bạ, </w:t>
      </w:r>
      <w:r w:rsidR="00860556" w:rsidRPr="00510A0D">
        <w:t>thuế</w:t>
      </w:r>
      <w:r w:rsidRPr="00510A0D">
        <w:t xml:space="preserve"> môn bài, phí bảo vệ môi trường đối với khai thác khoáng sản; thuế xuất khẩu, thuế nhập khẩu. </w:t>
      </w:r>
    </w:p>
    <w:p w:rsidR="00D835BD" w:rsidRPr="000331A6" w:rsidRDefault="0008064B" w:rsidP="007E13B0">
      <w:pPr>
        <w:pStyle w:val="norm"/>
      </w:pPr>
      <w:r w:rsidRPr="00510A0D">
        <w:t>Luật Phí, lệ phí và các văn bản hướng dẫn với nhiều quy định mới</w:t>
      </w:r>
      <w:r w:rsidRPr="00DB64CF">
        <w:rPr>
          <w:rStyle w:val="FootnoteReference"/>
          <w:b/>
        </w:rPr>
        <w:footnoteReference w:id="11"/>
      </w:r>
      <w:r w:rsidR="00DB64CF">
        <w:t>,</w:t>
      </w:r>
      <w:r w:rsidRPr="00510A0D">
        <w:t xml:space="preserve"> chuyển từ phí sang giá đối với một số loại hình dịch vụ công, phù hợp với sự vận hành của nền kinh tế thị trường định hướng</w:t>
      </w:r>
      <w:r w:rsidRPr="00F60C82">
        <w:t xml:space="preserve"> xã hội chủ nghĩa, đảm bảo công khai, minh bạch, thúc đẩy xã hội hóa. Ban hành theo thẩm quyền việc gia hạn, miễn, giảm một số khoản thuế, phí, lệ phí và thu ngân sách nhằm hỗ trợ nền kinh</w:t>
      </w:r>
      <w:r w:rsidRPr="000331A6">
        <w:t xml:space="preserve"> tế đối phó với đại dịch Covid-19 năm 2020</w:t>
      </w:r>
      <w:r w:rsidRPr="00BA0D42">
        <w:rPr>
          <w:rStyle w:val="FootnoteReference"/>
          <w:b/>
          <w:lang w:val="it-IT"/>
        </w:rPr>
        <w:footnoteReference w:id="12"/>
      </w:r>
      <w:r w:rsidRPr="000331A6">
        <w:t xml:space="preserve">. Đồng thời, Quốc hội đã thông qua Luật Quản </w:t>
      </w:r>
      <w:r w:rsidRPr="000331A6">
        <w:lastRenderedPageBreak/>
        <w:t xml:space="preserve">lý thuế áp dụng từ ngày 01/7/2020, thống nhất công tác quản lý thuế và góp phần </w:t>
      </w:r>
      <w:r w:rsidRPr="000331A6">
        <w:rPr>
          <w:bCs/>
        </w:rPr>
        <w:t>hoàn thiện thể chế quản lý thuế</w:t>
      </w:r>
      <w:r w:rsidRPr="000331A6">
        <w:t xml:space="preserve">. </w:t>
      </w:r>
    </w:p>
    <w:p w:rsidR="00D835BD" w:rsidRDefault="0008064B" w:rsidP="007E13B0">
      <w:pPr>
        <w:pStyle w:val="norm"/>
        <w:rPr>
          <w:spacing w:val="2"/>
          <w:lang w:val="nl-NL"/>
        </w:rPr>
      </w:pPr>
      <w:r w:rsidRPr="000331A6">
        <w:t>Chính sách về thu NSNN được các tỉnh/thành phố thực hiện thống nhất theo đúng các quy định của Luật thuế, Luật phí, lệ phí và pháp luật về thu NSNN liên quan do Trung ương ban hành; Đồng thời, thực hiện Nghị quyết của Quốc hội</w:t>
      </w:r>
      <w:r w:rsidRPr="00BA0D42">
        <w:rPr>
          <w:rStyle w:val="FootnoteReference"/>
          <w:b/>
        </w:rPr>
        <w:footnoteReference w:id="13"/>
      </w:r>
      <w:r w:rsidRPr="000331A6">
        <w:t xml:space="preserve">, </w:t>
      </w:r>
      <w:r w:rsidR="00FA3718" w:rsidRPr="000331A6">
        <w:rPr>
          <w:color w:val="000000" w:themeColor="text1"/>
          <w:lang w:val="nl-NL"/>
        </w:rPr>
        <w:t>HĐND</w:t>
      </w:r>
      <w:r w:rsidRPr="000331A6">
        <w:rPr>
          <w:color w:val="000000" w:themeColor="text1"/>
          <w:lang w:val="nl-NL"/>
        </w:rPr>
        <w:t xml:space="preserve"> </w:t>
      </w:r>
      <w:r w:rsidR="00A83EA6">
        <w:t>TP. H</w:t>
      </w:r>
      <w:r w:rsidRPr="000331A6">
        <w:t xml:space="preserve">à Nội, </w:t>
      </w:r>
      <w:r w:rsidR="00A83EA6">
        <w:t xml:space="preserve">TP. </w:t>
      </w:r>
      <w:r w:rsidR="00E66C67">
        <w:t>HCM</w:t>
      </w:r>
      <w:r w:rsidRPr="000331A6">
        <w:t xml:space="preserve"> quyết định hoặc</w:t>
      </w:r>
      <w:r w:rsidRPr="000331A6">
        <w:rPr>
          <w:color w:val="000000" w:themeColor="text1"/>
          <w:lang w:val="nl-NL"/>
        </w:rPr>
        <w:t xml:space="preserve"> </w:t>
      </w:r>
      <w:r w:rsidRPr="000331A6">
        <w:rPr>
          <w:spacing w:val="2"/>
          <w:lang w:val="nl-NL"/>
        </w:rPr>
        <w:t xml:space="preserve">báo cáo cấp có thẩm quyền quyết định thí điểm một số chính sách thu NSNN về thuế, phí. </w:t>
      </w:r>
    </w:p>
    <w:p w:rsidR="00D835BD" w:rsidRPr="004A1F08" w:rsidRDefault="0008064B" w:rsidP="007E13B0">
      <w:pPr>
        <w:pStyle w:val="Heading3"/>
      </w:pPr>
      <w:bookmarkStart w:id="27" w:name="_Toc62654330"/>
      <w:r w:rsidRPr="004A1F08">
        <w:t>1.2. Chính sách chi NSNN</w:t>
      </w:r>
      <w:bookmarkEnd w:id="27"/>
    </w:p>
    <w:p w:rsidR="00D835BD" w:rsidRDefault="00057BE8" w:rsidP="007E13B0">
      <w:pPr>
        <w:pStyle w:val="norm"/>
      </w:pPr>
      <w:bookmarkStart w:id="28" w:name="_Toc62654331"/>
      <w:r w:rsidRPr="000D7A40">
        <w:t>Trong giai đoạn 2016 – 2020, Quốc hội đã thông qua một số luật quan trọng như Luật Ngân sách nhà nước năm 2015 (có hiệu lực thi hành từ năm ngân sách 2017), Luật Đầu tư công năm 2019, Luật Quản lý, sử dụng tài sản công năm 2017, Luật Quản lý nợ công năm 2017, Luật Doanh nghiệp năm 2020… t</w:t>
      </w:r>
      <w:r w:rsidR="00ED6F8D" w:rsidRPr="000D7A40">
        <w:t xml:space="preserve">ăng </w:t>
      </w:r>
      <w:r w:rsidR="0008064B" w:rsidRPr="000D7A40">
        <w:t>cường hiệu quả phân bổ, quản lý, sử dụng các nguồn lực tài chính</w:t>
      </w:r>
      <w:r w:rsidRPr="000D7A40">
        <w:t xml:space="preserve"> </w:t>
      </w:r>
      <w:r w:rsidR="00ED6F8D" w:rsidRPr="000D7A40">
        <w:t>-</w:t>
      </w:r>
      <w:r w:rsidRPr="000D7A40">
        <w:t xml:space="preserve"> </w:t>
      </w:r>
      <w:r w:rsidR="00ED6F8D" w:rsidRPr="000D7A40">
        <w:t>NSNN</w:t>
      </w:r>
      <w:r w:rsidR="0008064B" w:rsidRPr="000D7A40">
        <w:t xml:space="preserve"> gắn với các mục tiêu phát triển kinh tế - xã hội và mục tiêu cơ cấu lại chi ngân sách</w:t>
      </w:r>
      <w:r w:rsidR="00ED6F8D" w:rsidRPr="000D7A40">
        <w:t xml:space="preserve"> và nợ </w:t>
      </w:r>
      <w:r w:rsidR="0008064B" w:rsidRPr="000D7A40">
        <w:t>công.</w:t>
      </w:r>
      <w:bookmarkEnd w:id="28"/>
      <w:r w:rsidR="0008064B" w:rsidRPr="000331A6">
        <w:t xml:space="preserve"> </w:t>
      </w:r>
    </w:p>
    <w:p w:rsidR="00D835BD" w:rsidRPr="00510A0D" w:rsidRDefault="0008064B" w:rsidP="007E13B0">
      <w:pPr>
        <w:pStyle w:val="norm"/>
      </w:pPr>
      <w:r w:rsidRPr="00510A0D">
        <w:t xml:space="preserve">Theo đó, công tác phân bổ, sử dụng nguồn lực công </w:t>
      </w:r>
      <w:r w:rsidRPr="00510A0D">
        <w:rPr>
          <w:lang w:val="nl-NL"/>
        </w:rPr>
        <w:t>trong phạm vi khả năng của nền kinh tế, gắn với các mục tiêu</w:t>
      </w:r>
      <w:r w:rsidR="00B025E9" w:rsidRPr="00510A0D">
        <w:rPr>
          <w:lang w:val="nl-NL"/>
        </w:rPr>
        <w:t xml:space="preserve"> phát triển</w:t>
      </w:r>
      <w:r w:rsidRPr="00510A0D">
        <w:rPr>
          <w:lang w:val="nl-NL"/>
        </w:rPr>
        <w:t xml:space="preserve"> </w:t>
      </w:r>
      <w:r w:rsidRPr="00510A0D">
        <w:t xml:space="preserve">kinh tế - xã hội </w:t>
      </w:r>
      <w:r w:rsidRPr="00510A0D">
        <w:rPr>
          <w:lang w:val="nl-NL"/>
        </w:rPr>
        <w:t xml:space="preserve">trung hạn, thực hiện cơ cấu lại chi </w:t>
      </w:r>
      <w:r w:rsidR="009556DA" w:rsidRPr="00510A0D">
        <w:rPr>
          <w:lang w:val="nl-NL"/>
        </w:rPr>
        <w:t>NSNN</w:t>
      </w:r>
      <w:r w:rsidRPr="00510A0D">
        <w:rPr>
          <w:lang w:val="nl-NL"/>
        </w:rPr>
        <w:t>, đầu tư công,</w:t>
      </w:r>
      <w:r w:rsidRPr="00510A0D">
        <w:t xml:space="preserve"> cải thiện </w:t>
      </w:r>
      <w:r w:rsidR="009556DA" w:rsidRPr="00510A0D">
        <w:t>công tác</w:t>
      </w:r>
      <w:r w:rsidRPr="00510A0D">
        <w:t xml:space="preserve"> dự báo, tạo chủ động cho các đơn vị dự toán, đơn vị sử dụng ngân sách. Đẩy mạnh </w:t>
      </w:r>
      <w:r w:rsidR="009556DA" w:rsidRPr="00510A0D">
        <w:t>công tác</w:t>
      </w:r>
      <w:r w:rsidRPr="00510A0D">
        <w:t xml:space="preserve"> đấu thầu, đặt hàng</w:t>
      </w:r>
      <w:r w:rsidR="009556DA" w:rsidRPr="00510A0D">
        <w:t>, giao nhiệm vụ</w:t>
      </w:r>
      <w:r w:rsidRPr="00510A0D">
        <w:t>; tăng cường phân cấp, trao quyền tự chủ khuyến khích sử dụng nguồn lực phù hợp với đặc thù của các ngành, các cấp, đơn vị. Xây dựng cơ chế tài chính</w:t>
      </w:r>
      <w:r w:rsidR="00A27FEC" w:rsidRPr="00510A0D">
        <w:t xml:space="preserve"> - ngân sách</w:t>
      </w:r>
      <w:r w:rsidRPr="00510A0D">
        <w:t xml:space="preserve"> đặc thù đối với các thành phố lớn, đơn vị hành chính - kinh tế đặc biệt. Đơn giản hóa thủ tục kiểm soát, thanh toán các khoản chi NSNN. Tăng cường quản lý quỹ ngoài NSNN. Siết chặt kỷ cương, kỷ luật tài chính - ngân sách, thu - chi trong phạm vi dự toán, hạn chế tối đa bổ sung ngoài dự toán, chuyển nguồn</w:t>
      </w:r>
      <w:r w:rsidR="007B1570" w:rsidRPr="00510A0D">
        <w:t xml:space="preserve"> sang năm sau</w:t>
      </w:r>
      <w:r w:rsidRPr="00510A0D">
        <w:t xml:space="preserve">.  </w:t>
      </w:r>
    </w:p>
    <w:p w:rsidR="00D835BD" w:rsidRPr="00510A0D" w:rsidRDefault="0008064B" w:rsidP="007E13B0">
      <w:pPr>
        <w:pStyle w:val="norm"/>
      </w:pPr>
      <w:bookmarkStart w:id="29" w:name="_Toc62654332"/>
      <w:r w:rsidRPr="00510A0D">
        <w:t>Thực hiện Luật NSNN, H</w:t>
      </w:r>
      <w:r w:rsidR="00B025E9" w:rsidRPr="00510A0D">
        <w:t>ĐND</w:t>
      </w:r>
      <w:r w:rsidRPr="00510A0D">
        <w:t xml:space="preserve"> cấp tỉnh đã ban hành Nghị quyết quy định phân cấp nguồn thu, nhiệm vụ chi</w:t>
      </w:r>
      <w:r w:rsidR="00DA70DA" w:rsidRPr="00510A0D">
        <w:t>;</w:t>
      </w:r>
      <w:r w:rsidRPr="00510A0D">
        <w:t xml:space="preserve"> tỷ lệ điều tiết</w:t>
      </w:r>
      <w:r w:rsidR="009556DA" w:rsidRPr="00510A0D">
        <w:t xml:space="preserve"> các khoản thu phân chia</w:t>
      </w:r>
      <w:r w:rsidRPr="00510A0D">
        <w:t xml:space="preserve"> giữa các cấp NSĐP</w:t>
      </w:r>
      <w:r w:rsidR="00DA70DA" w:rsidRPr="00510A0D">
        <w:t xml:space="preserve">; các nguyên tắc, tiêu chí và định mức phân bổ chi NSĐP </w:t>
      </w:r>
      <w:r w:rsidRPr="00510A0D">
        <w:t xml:space="preserve">trong thời kỳ ổn định ngân sách </w:t>
      </w:r>
      <w:r w:rsidR="00984335" w:rsidRPr="00510A0D">
        <w:t>giai đoạn</w:t>
      </w:r>
      <w:r w:rsidRPr="00510A0D">
        <w:t xml:space="preserve"> 2017 </w:t>
      </w:r>
      <w:r w:rsidR="00984335" w:rsidRPr="00510A0D">
        <w:t>-</w:t>
      </w:r>
      <w:r w:rsidRPr="00510A0D">
        <w:t xml:space="preserve"> 2020 đảm bảo thời gian, quy định của Luật NSNN. Trong quá trình tổ chức điều hành ngân sách, thu NSNN không đạt dự toán, </w:t>
      </w:r>
      <w:r w:rsidR="00BB34F0" w:rsidRPr="00510A0D">
        <w:t>UBND</w:t>
      </w:r>
      <w:r w:rsidRPr="00510A0D">
        <w:t xml:space="preserve"> báo cáo H</w:t>
      </w:r>
      <w:r w:rsidR="00E57D83" w:rsidRPr="00510A0D">
        <w:t>ĐND</w:t>
      </w:r>
      <w:r w:rsidRPr="00510A0D">
        <w:t xml:space="preserve"> điều chỉnh dự toán, thực hiện giảm, giãn nhiệm vụ chi tương ứng, ngân sách cấp trên hỗ trợ ngân sách cấp dưới bù giảm thu ngân sách do nguyên nhân khách quan và theo khả năng cân đối của ngân sách cấp trên.</w:t>
      </w:r>
      <w:bookmarkEnd w:id="29"/>
      <w:r w:rsidRPr="00510A0D">
        <w:t xml:space="preserve">  </w:t>
      </w:r>
    </w:p>
    <w:p w:rsidR="0042185A" w:rsidRDefault="0008064B" w:rsidP="007E13B0">
      <w:pPr>
        <w:pStyle w:val="norm"/>
      </w:pPr>
      <w:r w:rsidRPr="00510A0D">
        <w:lastRenderedPageBreak/>
        <w:t>Bên cạnh cơ chế, chính sách</w:t>
      </w:r>
      <w:r w:rsidR="00BB4B22" w:rsidRPr="00510A0D">
        <w:t xml:space="preserve"> đ</w:t>
      </w:r>
      <w:r w:rsidRPr="00510A0D">
        <w:t>ịa phương được sử dụng 100% thu tiền sử dụng đất, thu XSKT để đầu tư phát triển; ngân sách cấp tỉnh được bội chi NSĐP, nhưng chỉ dành cho đầu tư phát triển; các đơn vị sự nghiệp công lập có nguồn thu lớn được thực hiện cơ chế tự chủ về đầu tư phát triển và chi thường xuyên</w:t>
      </w:r>
      <w:r w:rsidR="0042185A" w:rsidRPr="00510A0D">
        <w:t>; một số thành phố</w:t>
      </w:r>
      <w:r w:rsidR="0010511A" w:rsidRPr="00510A0D">
        <w:t xml:space="preserve"> </w:t>
      </w:r>
      <w:r w:rsidR="0010511A" w:rsidRPr="000D7A40">
        <w:t>trực thuộc Trung ương</w:t>
      </w:r>
      <w:r w:rsidR="0042185A" w:rsidRPr="000D7A40">
        <w:rPr>
          <w:rStyle w:val="FootnoteReference"/>
          <w:b/>
        </w:rPr>
        <w:footnoteReference w:id="14"/>
      </w:r>
      <w:r w:rsidR="0042185A" w:rsidRPr="000D7A40">
        <w:t xml:space="preserve"> được Quốc hội</w:t>
      </w:r>
      <w:r w:rsidR="00E53577" w:rsidRPr="000D7A40">
        <w:t xml:space="preserve"> và Chính phủ</w:t>
      </w:r>
      <w:r w:rsidR="0042185A" w:rsidRPr="00510A0D">
        <w:t xml:space="preserve"> cho phép thực hiện cơ chế, chính sách tài chính - ngân sách đặc thù</w:t>
      </w:r>
      <w:r w:rsidRPr="00510A0D">
        <w:t>; H</w:t>
      </w:r>
      <w:r w:rsidR="000A2EB2" w:rsidRPr="00510A0D">
        <w:t>ĐND</w:t>
      </w:r>
      <w:r w:rsidRPr="00510A0D">
        <w:t xml:space="preserve"> cấp tỉnh căn cứ tình hình thực tế của địa phương, khả năng cân đối ngân sách ban hành các </w:t>
      </w:r>
      <w:r w:rsidR="00B919E0" w:rsidRPr="00510A0D">
        <w:t xml:space="preserve">chế độ, </w:t>
      </w:r>
      <w:r w:rsidRPr="00510A0D">
        <w:t>chính sách đặc thù theo quy định.</w:t>
      </w:r>
    </w:p>
    <w:p w:rsidR="00B94F15" w:rsidRPr="00510A0D" w:rsidRDefault="00B94F15" w:rsidP="00B94F15">
      <w:pPr>
        <w:pStyle w:val="norm"/>
      </w:pPr>
      <w:r>
        <w:t>Ngoài ra</w:t>
      </w:r>
      <w:r w:rsidRPr="00510A0D">
        <w:t>, Chính phủ đã ban hành chính sách bảo hiểm cho rủi ro thiên tai trong một số lĩnh vực, cụ thể:</w:t>
      </w:r>
    </w:p>
    <w:p w:rsidR="00B94F15" w:rsidRPr="00510A0D" w:rsidRDefault="00B94F15" w:rsidP="00B94F15">
      <w:pPr>
        <w:pStyle w:val="norm"/>
      </w:pPr>
      <w:r>
        <w:rPr>
          <w:lang w:val="es-ES"/>
        </w:rPr>
        <w:t xml:space="preserve">- </w:t>
      </w:r>
      <w:r w:rsidRPr="00510A0D">
        <w:rPr>
          <w:lang w:val="es-ES"/>
        </w:rPr>
        <w:t xml:space="preserve">Bảo hiểm tài sản công: Căn cứ </w:t>
      </w:r>
      <w:r w:rsidRPr="00510A0D">
        <w:t xml:space="preserve">Luật Quản lý, sử dụng tài sản công, </w:t>
      </w:r>
      <w:bookmarkStart w:id="30" w:name="dieu_135"/>
      <w:r w:rsidRPr="00510A0D">
        <w:t xml:space="preserve">Chính phủ ban hành Nghị định số 151/2017/NĐ-CP ngày 26/12/2017, trong đó có quy định </w:t>
      </w:r>
      <w:bookmarkEnd w:id="30"/>
      <w:r w:rsidRPr="00510A0D">
        <w:t>danh mục c</w:t>
      </w:r>
      <w:r w:rsidRPr="00510A0D">
        <w:rPr>
          <w:i/>
        </w:rPr>
        <w:t xml:space="preserve">ác tài sản công phải mua bảo hiểm; </w:t>
      </w:r>
      <w:r w:rsidRPr="00510A0D">
        <w:t>Bộ Tài chính đang phối hợp với các đơn vị liên quan nghiên cứu xây dựng danh mục tài sản cụ thể phải mua bảo hiểm cho rủi ro bão, lũ, lụt và cơ chế bảo hiểm đối với tài sản công.</w:t>
      </w:r>
    </w:p>
    <w:p w:rsidR="00B94F15" w:rsidRPr="00510A0D" w:rsidRDefault="00B94F15" w:rsidP="00B94F15">
      <w:pPr>
        <w:pStyle w:val="norm"/>
        <w:rPr>
          <w:color w:val="000000" w:themeColor="text1"/>
        </w:rPr>
      </w:pPr>
      <w:r>
        <w:t xml:space="preserve">- </w:t>
      </w:r>
      <w:r w:rsidRPr="00510A0D">
        <w:t>Bảo hiểm nông nghiệp: Căn cứ Nghị định số 58/2018/NĐ-CP ngày 18/04/2018 của Chính phủ về bảo hiểm nông nghiệp, Thủ tướng Chính phủ ban hành Quyết định số 22/2019/QĐ-TTg ngày 26/</w:t>
      </w:r>
      <w:r w:rsidR="000D7A40">
        <w:t>0</w:t>
      </w:r>
      <w:r w:rsidRPr="00510A0D">
        <w:t>6/2019 về thực hiện chính sách hỗ trợ bảo hiểm nông nghiệp, theo đó hỗ trợ phí bảo hiểm cho tổ chức, cá nhân sản xuất nông nghiệp tại 19 tỉnh, thành phố trực thuộc Trung ương khi tham gia bảo hiểm về rủi ro thiên tai, dịch bệnh đối với cây lúa, trâu, bò; bảo hiểm rủi ro thiên tai đối với tôm sú tôm thẻ chân trắng.</w:t>
      </w:r>
      <w:r w:rsidRPr="00510A0D">
        <w:rPr>
          <w:color w:val="000000" w:themeColor="text1"/>
        </w:rPr>
        <w:t xml:space="preserve"> </w:t>
      </w:r>
    </w:p>
    <w:p w:rsidR="00D835BD" w:rsidRPr="00510A0D" w:rsidRDefault="0008064B" w:rsidP="007E13B0">
      <w:pPr>
        <w:pStyle w:val="norm"/>
      </w:pPr>
      <w:r w:rsidRPr="00510A0D">
        <w:t>Với các cơ chế, chính sách trên đã tạo điều kiện để các địa phương phấn đấu tăng thu, tiết kiệm chi; từng bước cơ cấu lại ngân sách theo hướng tăng tỷ trọng chi đầu tư phát triển, giảm tỷ trọng chi thường xuyên so với tổng chi cân đối NSĐP, giám sát chặt chẽ các khoản vay, bội chi NSĐP, đảm bảo khả năng trả nợ đầy đủ, đúng hạn.</w:t>
      </w:r>
      <w:r w:rsidR="00684105" w:rsidRPr="00510A0D">
        <w:t xml:space="preserve"> </w:t>
      </w:r>
      <w:r w:rsidRPr="00510A0D">
        <w:t>Tuy nhiên, Chính quyền địa phương chưa ban hành được chính sách thu NSNN (thuế, phí, lệ phí) theo cơ chế đặc thù về tài chính - ngân sách; công tác quy hoạch, giải phóng mặt bằng tạo quỹ đất sạch để thực hiện đấu giá đất còn chậm, chưa đạt mục tiêu như kỳ vọng. Việc ban hành các văn bản hướng dẫn Nghị định 16</w:t>
      </w:r>
      <w:r w:rsidR="000A2EB2" w:rsidRPr="00510A0D">
        <w:t>/2015/NĐ-CP</w:t>
      </w:r>
      <w:r w:rsidRPr="00510A0D">
        <w:t xml:space="preserve"> về</w:t>
      </w:r>
      <w:r w:rsidR="000A2EB2" w:rsidRPr="00510A0D">
        <w:t xml:space="preserve"> cơ chế tự chủ của các đơn vị sự nghiệp công lập</w:t>
      </w:r>
      <w:r w:rsidRPr="00510A0D">
        <w:t xml:space="preserve"> (ban hành được 02/08 Nghị định phải ban hành) chưa kịp thời, nên số lượng các đơn vị thực hiện tự chủ về đầu tư và chi thường xuyên không nhiều.</w:t>
      </w:r>
      <w:r w:rsidRPr="00510A0D">
        <w:tab/>
      </w:r>
      <w:r w:rsidRPr="00510A0D">
        <w:tab/>
        <w:t xml:space="preserve"> </w:t>
      </w:r>
    </w:p>
    <w:p w:rsidR="00D835BD" w:rsidRPr="00510A0D" w:rsidRDefault="0008064B" w:rsidP="007E13B0">
      <w:pPr>
        <w:pStyle w:val="Heading2"/>
      </w:pPr>
      <w:bookmarkStart w:id="31" w:name="_Toc53064586"/>
      <w:bookmarkStart w:id="32" w:name="_Toc62654333"/>
      <w:bookmarkStart w:id="33" w:name="_Toc62657710"/>
      <w:bookmarkStart w:id="34" w:name="_Toc87619916"/>
      <w:r w:rsidRPr="00510A0D">
        <w:t>2. Cơ chế, chính sách huy động nguồn lực ngoài NSNN</w:t>
      </w:r>
      <w:bookmarkEnd w:id="31"/>
      <w:r w:rsidRPr="00510A0D">
        <w:rPr>
          <w:rStyle w:val="FootnoteReference"/>
        </w:rPr>
        <w:footnoteReference w:id="15"/>
      </w:r>
      <w:bookmarkEnd w:id="32"/>
      <w:bookmarkEnd w:id="33"/>
      <w:bookmarkEnd w:id="34"/>
    </w:p>
    <w:p w:rsidR="00D835BD" w:rsidRPr="00510A0D" w:rsidRDefault="0008064B" w:rsidP="007E13B0">
      <w:pPr>
        <w:pStyle w:val="Heading3"/>
        <w:rPr>
          <w:highlight w:val="yellow"/>
        </w:rPr>
      </w:pPr>
      <w:bookmarkStart w:id="35" w:name="_Toc62654334"/>
      <w:r w:rsidRPr="00510A0D">
        <w:lastRenderedPageBreak/>
        <w:t>2.1. Chính sách h</w:t>
      </w:r>
      <w:bookmarkStart w:id="36" w:name="_Toc53064587"/>
      <w:r w:rsidRPr="00510A0D">
        <w:t>uy động từ nguồn</w:t>
      </w:r>
      <w:bookmarkEnd w:id="35"/>
      <w:r w:rsidRPr="00510A0D">
        <w:t xml:space="preserve"> </w:t>
      </w:r>
      <w:bookmarkStart w:id="37" w:name="_Toc57281644"/>
      <w:bookmarkStart w:id="38" w:name="_Toc62654335"/>
      <w:bookmarkEnd w:id="36"/>
      <w:r w:rsidRPr="00510A0D">
        <w:t>vốn trong nước và vốn ODA</w:t>
      </w:r>
      <w:bookmarkEnd w:id="37"/>
      <w:bookmarkEnd w:id="38"/>
      <w:r w:rsidRPr="00510A0D">
        <w:t xml:space="preserve"> </w:t>
      </w:r>
    </w:p>
    <w:p w:rsidR="003E47AD" w:rsidRPr="00510A0D" w:rsidRDefault="004967D5" w:rsidP="007E13B0">
      <w:r w:rsidRPr="00510A0D">
        <w:t xml:space="preserve">Từ năm </w:t>
      </w:r>
      <w:r w:rsidR="00304803" w:rsidRPr="00510A0D">
        <w:rPr>
          <w:lang w:val="vi-VN"/>
        </w:rPr>
        <w:t>2017</w:t>
      </w:r>
      <w:r w:rsidR="0044412E" w:rsidRPr="00510A0D">
        <w:t>,</w:t>
      </w:r>
      <w:r w:rsidR="00304803" w:rsidRPr="00510A0D">
        <w:rPr>
          <w:lang w:val="vi-VN"/>
        </w:rPr>
        <w:t xml:space="preserve"> </w:t>
      </w:r>
      <w:r w:rsidR="007A0588" w:rsidRPr="00510A0D">
        <w:t>c</w:t>
      </w:r>
      <w:r w:rsidR="00304803" w:rsidRPr="00510A0D">
        <w:rPr>
          <w:lang w:val="vi-VN"/>
        </w:rPr>
        <w:t>ông tác huy động vốn hằng năm của địa phương tối đa trong phạm vi tổng mức vay đã được Quốc hội quyết định</w:t>
      </w:r>
      <w:r w:rsidR="00861EAB" w:rsidRPr="00510A0D">
        <w:t>,</w:t>
      </w:r>
      <w:r w:rsidR="00304803" w:rsidRPr="00510A0D">
        <w:rPr>
          <w:lang w:val="vi-VN"/>
        </w:rPr>
        <w:t xml:space="preserve"> Thủ tướng Chính phủ giao cho từng địa phương và đảm bảo</w:t>
      </w:r>
      <w:r w:rsidR="008755EF">
        <w:t xml:space="preserve"> b</w:t>
      </w:r>
      <w:r w:rsidR="00814039" w:rsidRPr="00510A0D">
        <w:t>ội chi NSĐP</w:t>
      </w:r>
      <w:r w:rsidR="00304803" w:rsidRPr="00510A0D">
        <w:rPr>
          <w:lang w:val="vi-VN"/>
        </w:rPr>
        <w:t xml:space="preserve"> không quá 0</w:t>
      </w:r>
      <w:proofErr w:type="gramStart"/>
      <w:r w:rsidR="00304803" w:rsidRPr="00510A0D">
        <w:rPr>
          <w:lang w:val="vi-VN"/>
        </w:rPr>
        <w:t>,2</w:t>
      </w:r>
      <w:proofErr w:type="gramEnd"/>
      <w:r w:rsidR="00304803" w:rsidRPr="00510A0D">
        <w:rPr>
          <w:lang w:val="vi-VN"/>
        </w:rPr>
        <w:t xml:space="preserve">% GDP trung bình cả giai đoạn </w:t>
      </w:r>
      <w:r w:rsidR="0026450F" w:rsidRPr="00510A0D">
        <w:rPr>
          <w:lang w:val="vi-VN"/>
        </w:rPr>
        <w:t>2016 - 2020</w:t>
      </w:r>
      <w:r w:rsidR="00304803" w:rsidRPr="00510A0D">
        <w:rPr>
          <w:lang w:val="vi-VN"/>
        </w:rPr>
        <w:t xml:space="preserve"> theo Nghị quyết 25/2016/QH14 của Quốc hội. Bên cạnh đó, tổng mức vay lại vốn vay nước ngoài của địa phương phải nằm trong hạn mức được Chính phủ phê duyệt hằng năm. </w:t>
      </w:r>
    </w:p>
    <w:p w:rsidR="003E47AD" w:rsidRPr="00510A0D" w:rsidRDefault="00304803" w:rsidP="007E13B0">
      <w:r w:rsidRPr="00510A0D">
        <w:t>Chính quyền địa phương</w:t>
      </w:r>
      <w:r w:rsidRPr="00510A0D">
        <w:rPr>
          <w:lang w:val="vi-VN"/>
        </w:rPr>
        <w:t xml:space="preserve"> được </w:t>
      </w:r>
      <w:r w:rsidR="0008064B" w:rsidRPr="00510A0D">
        <w:t>vay để đầu tư phát triển kinh tế - xã hội thuộc kế hoạch đầu tư công trung hạn đã được HĐND cấp tỉnh quyết định thông qua các hình thức: (i) Phát hành trái phiếu chính quyền địa phương tại thị trường vốn trong nước; (ii) Vay trực tiếp từ các tổ chức tài chính, tổ chức tín dụng trong nước</w:t>
      </w:r>
      <w:r w:rsidR="00684105" w:rsidRPr="00510A0D">
        <w:t>;</w:t>
      </w:r>
      <w:r w:rsidR="0008064B" w:rsidRPr="00510A0D">
        <w:t xml:space="preserve"> tạm ứng từ quỹ dự trữ tài chính (</w:t>
      </w:r>
      <w:r w:rsidR="00A83EA6" w:rsidRPr="00510A0D">
        <w:t>TP. H</w:t>
      </w:r>
      <w:r w:rsidR="0008064B" w:rsidRPr="00510A0D">
        <w:t xml:space="preserve">à Nội, </w:t>
      </w:r>
      <w:r w:rsidR="00A83EA6" w:rsidRPr="00510A0D">
        <w:t>TP. H</w:t>
      </w:r>
      <w:r w:rsidR="0008064B" w:rsidRPr="00510A0D">
        <w:t>CM); (iii) Vay lại từ nguồn vốn hỗ trợ phát triển chính thức (ODA) và nguồn vay ưu đãi ngoài nước của Chính phủ</w:t>
      </w:r>
      <w:r w:rsidR="0008064B" w:rsidRPr="00510A0D">
        <w:rPr>
          <w:rStyle w:val="FootnoteReference"/>
          <w:b/>
          <w:lang w:val="vi-VN"/>
        </w:rPr>
        <w:footnoteReference w:id="16"/>
      </w:r>
      <w:r w:rsidR="0008064B" w:rsidRPr="00510A0D">
        <w:t>.</w:t>
      </w:r>
      <w:bookmarkStart w:id="39" w:name="_Toc62654336"/>
      <w:r w:rsidRPr="00510A0D">
        <w:t xml:space="preserve"> V</w:t>
      </w:r>
      <w:r w:rsidR="0008064B" w:rsidRPr="00510A0D">
        <w:rPr>
          <w:lang w:val="vi-VN"/>
        </w:rPr>
        <w:t xml:space="preserve">ay </w:t>
      </w:r>
      <w:r w:rsidR="0008064B" w:rsidRPr="00510A0D">
        <w:t>bù đắp</w:t>
      </w:r>
      <w:r w:rsidR="0008064B" w:rsidRPr="00510A0D">
        <w:rPr>
          <w:lang w:val="vi-VN"/>
        </w:rPr>
        <w:t xml:space="preserve"> </w:t>
      </w:r>
      <w:r w:rsidR="0008064B" w:rsidRPr="00510A0D">
        <w:t>bội chi NSĐP, trả nợ với mức dư nợ gắn với khả năng trả nợ của từng địa phương (mức dư nợ tỷ lệ thuận với thu NSĐP được hưởng theo phân cấp thay vì trước đây mức huy động bằng 30% vốn đầu tư XDCB) là bước tiến trong công tác quản lý nợ công, tạo điều kiện đẩy nhanh tiến độ thực hiện các dự án,</w:t>
      </w:r>
      <w:r w:rsidR="0008064B" w:rsidRPr="00510A0D">
        <w:rPr>
          <w:bCs/>
          <w:iCs/>
          <w:color w:val="000000"/>
          <w:lang w:val="vi-VN"/>
        </w:rPr>
        <w:t xml:space="preserve"> công trình hạ tầng kinh tế, xã hội</w:t>
      </w:r>
      <w:r w:rsidR="0008064B" w:rsidRPr="00510A0D">
        <w:t xml:space="preserve"> quan trọng, từng bước phù hợp với thông lệ quốc tế.</w:t>
      </w:r>
      <w:bookmarkEnd w:id="39"/>
      <w:r w:rsidR="0008064B" w:rsidRPr="00510A0D">
        <w:t xml:space="preserve"> </w:t>
      </w:r>
    </w:p>
    <w:p w:rsidR="00684105" w:rsidRPr="00510A0D" w:rsidRDefault="00A372EA" w:rsidP="007E13B0">
      <w:r w:rsidRPr="00510A0D">
        <w:t>Công tác huy động quản lý khai thác, phân bổ sử dụng các nguồn lực tài chính đảm bảo chặt chẽ tiết kiệm, hiệu quả theo quy định của Luật N</w:t>
      </w:r>
      <w:r w:rsidR="00465BF3" w:rsidRPr="00510A0D">
        <w:t>SNN</w:t>
      </w:r>
      <w:r w:rsidRPr="00510A0D">
        <w:t xml:space="preserve"> và Luật Đầu tư công; công khai minh bạch, bám sát các định hướng phát triển kinh tế - xã hội của địa phương, ưu tiên các công trình trọng điểm, các hạng mục công trình hạ tầng thiết yếu như: Đường giao thông, thủy lợi, cấp nước, cơ sở vật chất, trường học, y tế, sắp xếp, bố trí tái định cư, kiến thiết đô thị và hạ tầng nông thôn. </w:t>
      </w:r>
    </w:p>
    <w:p w:rsidR="0026718B" w:rsidRPr="00510A0D" w:rsidRDefault="00A372EA" w:rsidP="007E13B0">
      <w:pPr>
        <w:rPr>
          <w:bCs/>
          <w:iCs/>
          <w:color w:val="000000"/>
        </w:rPr>
      </w:pPr>
      <w:r w:rsidRPr="00510A0D">
        <w:t xml:space="preserve">Các nguồn lực tài chính đã góp phần quan trọng vào sự nghiệp đổi mới, phát triển của địa phương, thực hiện hoàn thành các mục tiêu phát triển kinh tế - xã hội, xóa đói giảm nghèo, đảm bảo quốc phòng, an ninh trên địa bàn. </w:t>
      </w:r>
      <w:r w:rsidR="007A27C8" w:rsidRPr="00510A0D">
        <w:t>Tuy nhiên, C</w:t>
      </w:r>
      <w:r w:rsidR="0008064B" w:rsidRPr="00510A0D">
        <w:t>hính quyền địa phương tập trung vay lại từ nguồn</w:t>
      </w:r>
      <w:r w:rsidR="0008064B" w:rsidRPr="00510A0D">
        <w:rPr>
          <w:lang w:val="vi-VN"/>
        </w:rPr>
        <w:t xml:space="preserve"> vốn hỗ trợ phát triển chính thức (ODA)</w:t>
      </w:r>
      <w:r w:rsidR="0008064B" w:rsidRPr="00510A0D">
        <w:t xml:space="preserve"> và nguồn</w:t>
      </w:r>
      <w:r w:rsidR="0008064B" w:rsidRPr="00510A0D">
        <w:rPr>
          <w:lang w:val="vi-VN"/>
        </w:rPr>
        <w:t xml:space="preserve"> vay ưu đãi </w:t>
      </w:r>
      <w:r w:rsidR="0008064B" w:rsidRPr="00510A0D">
        <w:t xml:space="preserve">nước </w:t>
      </w:r>
      <w:r w:rsidR="0008064B" w:rsidRPr="00510A0D">
        <w:rPr>
          <w:lang w:val="vi-VN"/>
        </w:rPr>
        <w:t>ngoài của Chính phủ</w:t>
      </w:r>
      <w:r w:rsidR="0008064B" w:rsidRPr="00510A0D">
        <w:t xml:space="preserve">, việc huy động đa dạng các hình thức khác còn hạn chế; </w:t>
      </w:r>
      <w:r w:rsidR="0008064B" w:rsidRPr="00510A0D">
        <w:rPr>
          <w:color w:val="000000"/>
          <w:lang w:val="fr-FR"/>
        </w:rPr>
        <w:t>t</w:t>
      </w:r>
      <w:r w:rsidR="0008064B" w:rsidRPr="00510A0D">
        <w:rPr>
          <w:color w:val="000000"/>
        </w:rPr>
        <w:t xml:space="preserve">iến độ thực hiện các dự án vốn ODA thường bị chậm, nhiều dự án phải điều chỉnh tổng mức đầu tư, gia hạn thời gian vay, ảnh hưởng đến </w:t>
      </w:r>
      <w:r w:rsidR="0008064B" w:rsidRPr="00510A0D">
        <w:rPr>
          <w:bCs/>
          <w:iCs/>
          <w:color w:val="000000"/>
          <w:lang w:val="vi-VN"/>
        </w:rPr>
        <w:t>hiệu quả sử dụng vốn vay.</w:t>
      </w:r>
      <w:bookmarkStart w:id="40" w:name="_Toc62654337"/>
    </w:p>
    <w:p w:rsidR="0026718B" w:rsidRPr="00510A0D" w:rsidRDefault="0008064B" w:rsidP="007E13B0">
      <w:pPr>
        <w:pStyle w:val="Heading3"/>
      </w:pPr>
      <w:r w:rsidRPr="00510A0D">
        <w:t>2.2.</w:t>
      </w:r>
      <w:bookmarkEnd w:id="40"/>
      <w:r w:rsidRPr="00510A0D">
        <w:t xml:space="preserve"> </w:t>
      </w:r>
      <w:bookmarkStart w:id="41" w:name="_Toc53064590"/>
      <w:bookmarkStart w:id="42" w:name="_Toc62654338"/>
      <w:r w:rsidRPr="00510A0D">
        <w:t xml:space="preserve">Chính sách đầu tư </w:t>
      </w:r>
      <w:proofErr w:type="gramStart"/>
      <w:r w:rsidRPr="00510A0D">
        <w:t>theo</w:t>
      </w:r>
      <w:proofErr w:type="gramEnd"/>
      <w:r w:rsidRPr="00510A0D">
        <w:t xml:space="preserve"> </w:t>
      </w:r>
      <w:r w:rsidR="00DB6859" w:rsidRPr="00510A0D">
        <w:t>hình thức</w:t>
      </w:r>
      <w:r w:rsidRPr="00510A0D">
        <w:t xml:space="preserve"> đối tác công tư</w:t>
      </w:r>
      <w:bookmarkStart w:id="43" w:name="_Toc57281826"/>
      <w:bookmarkStart w:id="44" w:name="_Toc57291361"/>
      <w:bookmarkEnd w:id="41"/>
      <w:bookmarkEnd w:id="42"/>
      <w:r w:rsidR="001101A1" w:rsidRPr="00510A0D">
        <w:t xml:space="preserve"> (PPP)</w:t>
      </w:r>
    </w:p>
    <w:p w:rsidR="004B3E6E" w:rsidRPr="00510A0D" w:rsidRDefault="0008064B" w:rsidP="007E13B0">
      <w:r w:rsidRPr="00510A0D">
        <w:t xml:space="preserve">Căn cứ Luật Đầu tư công năm 2013, Chính phủ đã ban hành Nghị định số 63/2018/NĐ-CP ngày 04/05/2018 về đầu tư theo hình thức </w:t>
      </w:r>
      <w:r w:rsidR="001101A1" w:rsidRPr="00510A0D">
        <w:t>PPP</w:t>
      </w:r>
      <w:r w:rsidRPr="00510A0D">
        <w:t xml:space="preserve"> </w:t>
      </w:r>
      <w:r w:rsidRPr="00DF5490">
        <w:t>(</w:t>
      </w:r>
      <w:r w:rsidR="001101A1" w:rsidRPr="00DF5490">
        <w:t xml:space="preserve">Bộ Tài chính đã ban hành Thông tư số 88/2018/TT-BTC ngày 28/09/2018 quy định một số nội dung về quản lý tài chính đối với dự án đầu tư theo hình thức PPP và chi phí lựa </w:t>
      </w:r>
      <w:r w:rsidR="001101A1" w:rsidRPr="00DF5490">
        <w:lastRenderedPageBreak/>
        <w:t>chọn nhà đầu tư; Bộ Kế hoạch và Đầu tư đã ban hành Thông tư số 09/2018/TT-BKHĐT ngày 28/12/2018 hướng dẫn thực hiện một số điều của Nghị định số 63/2018/NĐ-CP</w:t>
      </w:r>
      <w:r w:rsidR="003F78D3" w:rsidRPr="00DF5490">
        <w:t>; Chính phủ đã ban hành Nghị định số 69/2019/NĐ-CP quy định việc sử dụng tài sản công để thanh toán cho Nhà đầu tư khi thực hiện Dự án đầu tư xây dựng công trình theo hình thức Hợp đồng Xây dựng - Chuyển giao</w:t>
      </w:r>
      <w:r w:rsidRPr="00DF5490">
        <w:t xml:space="preserve">). Theo đó, </w:t>
      </w:r>
      <w:bookmarkEnd w:id="43"/>
      <w:bookmarkEnd w:id="44"/>
      <w:r w:rsidRPr="00DF5490">
        <w:t>Nhà nước và nhà đầu tư, doanh nghiệp đầu tư dự án xây dựng, cải tạo, vận hành, kinh doanh, quản lý công trình hạ tầng, cung cấp dịch vụ công thông qua 0</w:t>
      </w:r>
      <w:r w:rsidR="005B19DD" w:rsidRPr="00DF5490">
        <w:t>8</w:t>
      </w:r>
      <w:r w:rsidRPr="00DF5490">
        <w:t xml:space="preserve"> hình thức hợp đồng</w:t>
      </w:r>
      <w:r w:rsidRPr="00DF5490">
        <w:rPr>
          <w:rStyle w:val="FootnoteReference"/>
          <w:b/>
        </w:rPr>
        <w:footnoteReference w:id="17"/>
      </w:r>
      <w:r w:rsidRPr="00DF5490">
        <w:t>.</w:t>
      </w:r>
      <w:r w:rsidRPr="00510A0D">
        <w:t xml:space="preserve"> </w:t>
      </w:r>
    </w:p>
    <w:p w:rsidR="00A827F9" w:rsidRPr="00510A0D" w:rsidRDefault="0008064B" w:rsidP="007E13B0">
      <w:r w:rsidRPr="00510A0D">
        <w:t xml:space="preserve">Từ ngày 01/01/2021 </w:t>
      </w:r>
      <w:r w:rsidRPr="00510A0D">
        <w:rPr>
          <w:lang w:val="vi-VN"/>
        </w:rPr>
        <w:t xml:space="preserve">Luật </w:t>
      </w:r>
      <w:r w:rsidRPr="00510A0D">
        <w:t xml:space="preserve">Đầu tư theo </w:t>
      </w:r>
      <w:r w:rsidR="00BE3CF3" w:rsidRPr="00510A0D">
        <w:t>hình</w:t>
      </w:r>
      <w:r w:rsidRPr="00510A0D">
        <w:t xml:space="preserve"> thức đối tác công tư</w:t>
      </w:r>
      <w:r w:rsidR="004B3E6E" w:rsidRPr="00510A0D">
        <w:t xml:space="preserve"> </w:t>
      </w:r>
      <w:r w:rsidR="005B19DD" w:rsidRPr="00510A0D">
        <w:t xml:space="preserve">năm 2020 </w:t>
      </w:r>
      <w:r w:rsidR="004B3E6E" w:rsidRPr="00510A0D">
        <w:t>có hiệu lực, theo đó</w:t>
      </w:r>
      <w:r w:rsidRPr="00510A0D">
        <w:t xml:space="preserve"> </w:t>
      </w:r>
      <w:r w:rsidRPr="00510A0D">
        <w:rPr>
          <w:lang w:val="vi-VN"/>
        </w:rPr>
        <w:t>dừng triển khai dự án</w:t>
      </w:r>
      <w:r w:rsidRPr="00510A0D">
        <w:t xml:space="preserve"> </w:t>
      </w:r>
      <w:r w:rsidRPr="00510A0D">
        <w:rPr>
          <w:lang w:val="vi-VN"/>
        </w:rPr>
        <w:t>mới áp dụng loại hợp đồng BT</w:t>
      </w:r>
      <w:r w:rsidR="004B3E6E" w:rsidRPr="00510A0D">
        <w:t xml:space="preserve"> (</w:t>
      </w:r>
      <w:r w:rsidRPr="00510A0D">
        <w:t xml:space="preserve">đối với các dự án </w:t>
      </w:r>
      <w:r w:rsidRPr="00510A0D">
        <w:rPr>
          <w:lang w:val="vi-VN"/>
        </w:rPr>
        <w:t>BT đã có kết quả lựa chọn nhà đầu tư</w:t>
      </w:r>
      <w:r w:rsidRPr="00510A0D">
        <w:t>,</w:t>
      </w:r>
      <w:r w:rsidRPr="00510A0D">
        <w:rPr>
          <w:lang w:val="vi-VN"/>
        </w:rPr>
        <w:t xml:space="preserve"> ký kết hợp đồng trước ngày </w:t>
      </w:r>
      <w:r w:rsidRPr="00510A0D">
        <w:t>01/01/2021, t</w:t>
      </w:r>
      <w:r w:rsidRPr="00510A0D">
        <w:rPr>
          <w:lang w:val="vi-VN"/>
        </w:rPr>
        <w:t>iếp tục triển khai thực hiện dự án, thanh toán theo</w:t>
      </w:r>
      <w:r w:rsidRPr="00510A0D">
        <w:t xml:space="preserve"> </w:t>
      </w:r>
      <w:r w:rsidRPr="00510A0D">
        <w:rPr>
          <w:lang w:val="vi-VN"/>
        </w:rPr>
        <w:t>quy định của hợp đồng BT đã ký kết và quy định của pháp luật tại thời điểm ký kết hợp đồng</w:t>
      </w:r>
      <w:r w:rsidR="004B3E6E" w:rsidRPr="00510A0D">
        <w:t>)</w:t>
      </w:r>
      <w:r w:rsidRPr="00510A0D">
        <w:rPr>
          <w:lang w:val="vi-VN"/>
        </w:rPr>
        <w:t>.</w:t>
      </w:r>
      <w:bookmarkStart w:id="46" w:name="_Toc62654339"/>
    </w:p>
    <w:p w:rsidR="00313883" w:rsidRPr="00510A0D" w:rsidRDefault="00C07FA2" w:rsidP="007E13B0">
      <w:r w:rsidRPr="00DF5490">
        <w:t xml:space="preserve">Thực hiện </w:t>
      </w:r>
      <w:r w:rsidRPr="00DF5490">
        <w:rPr>
          <w:lang w:val="vi-VN"/>
        </w:rPr>
        <w:t xml:space="preserve">Luật </w:t>
      </w:r>
      <w:r w:rsidRPr="00DF5490">
        <w:t xml:space="preserve">Đầu tư </w:t>
      </w:r>
      <w:proofErr w:type="gramStart"/>
      <w:r w:rsidRPr="00DF5490">
        <w:t>theo</w:t>
      </w:r>
      <w:proofErr w:type="gramEnd"/>
      <w:r w:rsidRPr="00DF5490">
        <w:t xml:space="preserve"> hình thức </w:t>
      </w:r>
      <w:r w:rsidR="009B7AA0" w:rsidRPr="00DF5490">
        <w:t>PPP</w:t>
      </w:r>
      <w:r w:rsidRPr="00DF5490">
        <w:t xml:space="preserve"> năm 2020, </w:t>
      </w:r>
      <w:r w:rsidR="00313883" w:rsidRPr="00DF5490">
        <w:t xml:space="preserve">Chính phủ </w:t>
      </w:r>
      <w:r w:rsidRPr="00DF5490">
        <w:t xml:space="preserve">đã </w:t>
      </w:r>
      <w:r w:rsidR="00313883" w:rsidRPr="00DF5490">
        <w:t xml:space="preserve">ban hành Nghị định 28/2021/NĐ-CP ngày 26/03/2021 quy định cơ chế quản lý tài chính dự án đầu tư theo phương pháp </w:t>
      </w:r>
      <w:r w:rsidRPr="00DF5490">
        <w:t>PPP.</w:t>
      </w:r>
    </w:p>
    <w:p w:rsidR="00A827F9" w:rsidRPr="00510A0D" w:rsidRDefault="0008064B" w:rsidP="007E13B0">
      <w:pPr>
        <w:pStyle w:val="Heading3"/>
      </w:pPr>
      <w:r w:rsidRPr="00510A0D">
        <w:t>2.3. Chính sách huy động nguồn lực từ dân cư, tổ chức tín dụng, các tổ chức xã hội trong nước</w:t>
      </w:r>
      <w:bookmarkEnd w:id="46"/>
    </w:p>
    <w:p w:rsidR="005318F1" w:rsidRPr="00510A0D" w:rsidRDefault="0008064B" w:rsidP="007E13B0">
      <w:pPr>
        <w:rPr>
          <w:lang w:val="de-DE"/>
        </w:rPr>
      </w:pPr>
      <w:r w:rsidRPr="00510A0D">
        <w:t xml:space="preserve">Thực hiện Luật NSNN, Luật đầu tư công, Nghị định số 161/2016/NĐ-CP về cơ chế đặc thù trong quản lý đầu tư xây dựng đối với một số dự án thuộc CTMTQG giai đoạn 2016 - 2020, Chính quyền địa phương đã tập trung huy động, lồng ghép các nguồn vốn để thực hiện các chương trình, dự án quan trọng, cấp bách, có tác động mạnh tới phát triển kinh tế - xã hội của địa phương, trong đó ưu tiên các công trình, dự án thuộc CTMTQG xây dựng nông thôn mới, giảm nghèo bền vững từ các nguồn </w:t>
      </w:r>
      <w:r w:rsidR="00252941" w:rsidRPr="00510A0D">
        <w:t xml:space="preserve">huy động </w:t>
      </w:r>
      <w:r w:rsidRPr="00510A0D">
        <w:t>các doanh nghiệp, vốn tín dụng, vốn nhân dân đóng góp, vốn huy động từ các quỹ.</w:t>
      </w:r>
      <w:r w:rsidRPr="00510A0D">
        <w:rPr>
          <w:lang w:val="de-DE"/>
        </w:rPr>
        <w:t xml:space="preserve"> </w:t>
      </w:r>
    </w:p>
    <w:p w:rsidR="005318F1" w:rsidRPr="00510A0D" w:rsidRDefault="0008064B" w:rsidP="007E13B0">
      <w:r w:rsidRPr="00510A0D">
        <w:t>Chính sách huy động nguồn lực từ dân cư, tổ chức tín dụng, các tổ chức xã hội trong nước để phát triển kinh tế - xã hội trên địa bàn cũng được Chính quyền địa phương</w:t>
      </w:r>
      <w:r w:rsidR="00A51F88" w:rsidRPr="00510A0D">
        <w:t xml:space="preserve"> (như Thái Nguyên, Phú Th</w:t>
      </w:r>
      <w:r w:rsidR="007E4D20" w:rsidRPr="00510A0D">
        <w:t>ọ</w:t>
      </w:r>
      <w:r w:rsidR="00A51F88" w:rsidRPr="00510A0D">
        <w:t>, Hòa Bình, Hà Nội, Hải Phòng, Vĩnh Phúc,..)</w:t>
      </w:r>
      <w:r w:rsidRPr="00510A0D">
        <w:t xml:space="preserve"> quan tâm chỉ đạo, tổ chức thực hiện</w:t>
      </w:r>
      <w:r w:rsidR="00A51F88" w:rsidRPr="00510A0D">
        <w:t xml:space="preserve">. </w:t>
      </w:r>
      <w:bookmarkStart w:id="47" w:name="_Toc62654340"/>
    </w:p>
    <w:p w:rsidR="005318F1" w:rsidRPr="00510A0D" w:rsidRDefault="0008064B" w:rsidP="007E13B0">
      <w:pPr>
        <w:pStyle w:val="Heading3"/>
      </w:pPr>
      <w:r w:rsidRPr="00510A0D">
        <w:t>2.4. Chính sách sắp xếp, đổi mới các doanh nghiệp nhà nước</w:t>
      </w:r>
      <w:bookmarkEnd w:id="47"/>
    </w:p>
    <w:p w:rsidR="00E02D3A" w:rsidRPr="00510A0D" w:rsidRDefault="0008064B" w:rsidP="007E13B0">
      <w:r w:rsidRPr="00510A0D">
        <w:rPr>
          <w:lang w:val="it-IT"/>
        </w:rPr>
        <w:t>Luật Quản lý, sử dụng vốn nhà nước đầu tư vào sản xuất, kinh doanh tại doanh nghiệp, Luật Doanh nghiệp năm 2014</w:t>
      </w:r>
      <w:r w:rsidRPr="00510A0D">
        <w:rPr>
          <w:rStyle w:val="FootnoteReference"/>
          <w:b/>
          <w:lang w:val="it-IT"/>
        </w:rPr>
        <w:footnoteReference w:id="18"/>
      </w:r>
      <w:r w:rsidRPr="00510A0D">
        <w:rPr>
          <w:lang w:val="it-IT"/>
        </w:rPr>
        <w:t xml:space="preserve"> và các Nghị quyết của Trung </w:t>
      </w:r>
      <w:r w:rsidRPr="00510A0D">
        <w:rPr>
          <w:lang w:val="it-IT"/>
        </w:rPr>
        <w:lastRenderedPageBreak/>
        <w:t>ương</w:t>
      </w:r>
      <w:r w:rsidRPr="00510A0D">
        <w:rPr>
          <w:rStyle w:val="FootnoteReference"/>
          <w:b/>
          <w:lang w:val="it-IT"/>
        </w:rPr>
        <w:footnoteReference w:id="19"/>
      </w:r>
      <w:r w:rsidR="00E02D3A" w:rsidRPr="00510A0D">
        <w:rPr>
          <w:lang w:val="it-IT"/>
        </w:rPr>
        <w:t xml:space="preserve"> đã đ</w:t>
      </w:r>
      <w:r w:rsidRPr="00510A0D">
        <w:t xml:space="preserve">ổi mới căn bản cơ chế đầu tư, cơ chế tài chính đối với các </w:t>
      </w:r>
      <w:r w:rsidR="002E28BE" w:rsidRPr="00510A0D">
        <w:rPr>
          <w:spacing w:val="-2"/>
          <w:lang w:val="pl-PL"/>
        </w:rPr>
        <w:t>DNNN</w:t>
      </w:r>
      <w:r w:rsidRPr="00510A0D">
        <w:t xml:space="preserve"> qua đó tiếp tục khẳng định các </w:t>
      </w:r>
      <w:r w:rsidR="002E28BE" w:rsidRPr="00510A0D">
        <w:rPr>
          <w:spacing w:val="-2"/>
          <w:lang w:val="pl-PL"/>
        </w:rPr>
        <w:t>DNNN</w:t>
      </w:r>
      <w:r w:rsidRPr="00510A0D">
        <w:t xml:space="preserve"> hoạt động bình đẳng với các thành phần kinh tế khác; quy định việc quản lý nợ chặt chẽ, hạn chế tối đa sự bao cấp nguồn lực của Nhà nước cho các </w:t>
      </w:r>
      <w:r w:rsidR="002E28BE" w:rsidRPr="00510A0D">
        <w:rPr>
          <w:spacing w:val="-2"/>
          <w:lang w:val="pl-PL"/>
        </w:rPr>
        <w:t>DNNN</w:t>
      </w:r>
      <w:r w:rsidRPr="00510A0D">
        <w:t xml:space="preserve">; bổ sung quy định đánh giá hiệu quả hoạt động sản xuất kinh doanh của ban lãnh đạo và </w:t>
      </w:r>
      <w:r w:rsidR="002E28BE" w:rsidRPr="00510A0D">
        <w:rPr>
          <w:spacing w:val="-2"/>
          <w:lang w:val="pl-PL"/>
        </w:rPr>
        <w:t>DNNN</w:t>
      </w:r>
      <w:r w:rsidRPr="00510A0D">
        <w:t xml:space="preserve">; tăng cường trách nhiệm giám sát tài chính đối với các </w:t>
      </w:r>
      <w:r w:rsidR="002E28BE" w:rsidRPr="00510A0D">
        <w:rPr>
          <w:spacing w:val="-2"/>
          <w:lang w:val="pl-PL"/>
        </w:rPr>
        <w:t>DNNN</w:t>
      </w:r>
      <w:r w:rsidRPr="00510A0D">
        <w:t xml:space="preserve"> và cơ quan đại diện chủ sở hữu gắn với đẩy mạnh công khai, minh bạch thông tin tài chính</w:t>
      </w:r>
      <w:r w:rsidR="00E41ADC" w:rsidRPr="00510A0D">
        <w:t>.</w:t>
      </w:r>
    </w:p>
    <w:p w:rsidR="00E02D3A" w:rsidRPr="00510A0D" w:rsidRDefault="00E41ADC" w:rsidP="007E13B0">
      <w:r w:rsidRPr="00510A0D">
        <w:t>V</w:t>
      </w:r>
      <w:r w:rsidR="0008064B" w:rsidRPr="00510A0D">
        <w:t>ới việc ban hành các Nghị định về đầu tư vốn nhà nước vào doanh nghiệp và quản lý vốn, tài sản tại doanh nghiệp</w:t>
      </w:r>
      <w:r w:rsidR="0008064B" w:rsidRPr="00510A0D">
        <w:rPr>
          <w:rStyle w:val="FootnoteReference"/>
          <w:b/>
          <w:spacing w:val="-2"/>
          <w:lang w:val="pl-PL"/>
        </w:rPr>
        <w:footnoteReference w:id="20"/>
      </w:r>
      <w:r w:rsidR="0035507F" w:rsidRPr="00510A0D">
        <w:t>,</w:t>
      </w:r>
      <w:r w:rsidR="0008064B" w:rsidRPr="00510A0D">
        <w:t xml:space="preserve"> gắn với quy định về tăng cường công tác quản lý nợ tại </w:t>
      </w:r>
      <w:r w:rsidR="002E28BE" w:rsidRPr="00510A0D">
        <w:rPr>
          <w:lang w:val="pl-PL"/>
        </w:rPr>
        <w:t>DNNN</w:t>
      </w:r>
      <w:r w:rsidR="0008064B" w:rsidRPr="00510A0D">
        <w:t xml:space="preserve"> nắm giữ 100% vốn điều lệ</w:t>
      </w:r>
      <w:r w:rsidR="0008064B" w:rsidRPr="00510A0D">
        <w:rPr>
          <w:rStyle w:val="FootnoteReference"/>
          <w:b/>
          <w:spacing w:val="-2"/>
          <w:lang w:val="pl-PL"/>
        </w:rPr>
        <w:footnoteReference w:id="21"/>
      </w:r>
      <w:r w:rsidR="0008064B" w:rsidRPr="00510A0D">
        <w:t xml:space="preserve"> và hệ thống các tiêu chí, hình thức gi</w:t>
      </w:r>
      <w:r w:rsidR="0008064B" w:rsidRPr="00510A0D">
        <w:rPr>
          <w:lang w:val="nb-NO"/>
        </w:rPr>
        <w:t xml:space="preserve">ám </w:t>
      </w:r>
      <w:r w:rsidR="0008064B" w:rsidRPr="00510A0D">
        <w:t xml:space="preserve">sát đầu tư vốn nhà nước vào doanh nghiệp; giám sát tài chính, đánh giá hiệu quả hoạt động và công khai thông tin tài chính của </w:t>
      </w:r>
      <w:r w:rsidR="002E28BE" w:rsidRPr="00510A0D">
        <w:t>DNNN</w:t>
      </w:r>
      <w:r w:rsidR="0008064B" w:rsidRPr="00510A0D">
        <w:t xml:space="preserve"> và doanh nghiệp có vốn nhà nước</w:t>
      </w:r>
      <w:r w:rsidR="0008064B" w:rsidRPr="00510A0D">
        <w:rPr>
          <w:rStyle w:val="FootnoteReference"/>
          <w:b/>
          <w:spacing w:val="-2"/>
          <w:lang w:val="pl-PL"/>
        </w:rPr>
        <w:footnoteReference w:id="22"/>
      </w:r>
      <w:r w:rsidR="0008064B" w:rsidRPr="00510A0D">
        <w:t>,..., thực hiện phương thức cung ứng sản phẩm, dịch vụ công ích được lựa chọn theo thứ tự ưu tiên như sau: đấu thầu, đặt hàng, giao kế hoạch, nhằm mở rộng đối tượng tham gia sản xuất, cung ứng sản phẩm, dịch vụ công ích tại tất cả các doanh nghiệp không phân biệt thành phần kinh tế.</w:t>
      </w:r>
    </w:p>
    <w:p w:rsidR="00E02D3A" w:rsidRPr="00510A0D" w:rsidRDefault="0008064B" w:rsidP="007E13B0">
      <w:r w:rsidRPr="00510A0D">
        <w:t>H</w:t>
      </w:r>
      <w:r w:rsidRPr="00510A0D">
        <w:rPr>
          <w:lang w:val="nb-NO"/>
        </w:rPr>
        <w:t>oàn thiện thể chế quản lý</w:t>
      </w:r>
      <w:r w:rsidRPr="00510A0D">
        <w:rPr>
          <w:lang w:val="vi-VN"/>
        </w:rPr>
        <w:t xml:space="preserve"> </w:t>
      </w:r>
      <w:r w:rsidR="002E28BE" w:rsidRPr="00510A0D">
        <w:rPr>
          <w:spacing w:val="-2"/>
        </w:rPr>
        <w:t>DNNN</w:t>
      </w:r>
      <w:r w:rsidRPr="00510A0D">
        <w:rPr>
          <w:lang w:val="nb-NO"/>
        </w:rPr>
        <w:t>, phân định quyền hạn và trách nhiệm của đại diện chủ sở hữu</w:t>
      </w:r>
      <w:r w:rsidRPr="00510A0D">
        <w:rPr>
          <w:lang w:val="vi-VN"/>
        </w:rPr>
        <w:t xml:space="preserve">, </w:t>
      </w:r>
      <w:r w:rsidRPr="00510A0D">
        <w:rPr>
          <w:lang w:val="nb-NO"/>
        </w:rPr>
        <w:t>người quản lý doanh nghiệp; tuân thủ nguyên tắc kinh tế thị trường; giám sát chặt chẽ hơn vốn, tài sản, tài chính của doanh nghiệp nhà nước</w:t>
      </w:r>
      <w:r w:rsidRPr="00510A0D">
        <w:rPr>
          <w:rStyle w:val="FootnoteReference"/>
          <w:b/>
          <w:lang w:val="it-IT"/>
        </w:rPr>
        <w:footnoteReference w:id="23"/>
      </w:r>
      <w:r w:rsidRPr="00510A0D">
        <w:rPr>
          <w:lang w:val="it-IT"/>
        </w:rPr>
        <w:t xml:space="preserve">; </w:t>
      </w:r>
      <w:r w:rsidRPr="00510A0D">
        <w:t xml:space="preserve">hoàn thiện một bước quy định về phân công, phân cấp thực hiện các quyền, trách nhiệm, nghĩa vụ của chủ sở hữu nhà nước đối với </w:t>
      </w:r>
      <w:r w:rsidR="002E28BE" w:rsidRPr="00510A0D">
        <w:rPr>
          <w:spacing w:val="-2"/>
        </w:rPr>
        <w:t>DNNN</w:t>
      </w:r>
      <w:r w:rsidRPr="00510A0D">
        <w:t xml:space="preserve"> và vốn Nhà nước đầu tư vào doanh nghiệp</w:t>
      </w:r>
      <w:r w:rsidRPr="00510A0D">
        <w:rPr>
          <w:rStyle w:val="FootnoteReference"/>
          <w:b/>
          <w:lang w:val="pl-PL"/>
        </w:rPr>
        <w:footnoteReference w:id="24"/>
      </w:r>
      <w:r w:rsidRPr="00510A0D">
        <w:t>.</w:t>
      </w:r>
    </w:p>
    <w:p w:rsidR="00E02D3A" w:rsidRPr="00510A0D" w:rsidRDefault="00E61052" w:rsidP="007E13B0">
      <w:pPr>
        <w:rPr>
          <w:lang w:val="pl-PL"/>
        </w:rPr>
      </w:pPr>
      <w:r w:rsidRPr="00510A0D">
        <w:t xml:space="preserve">Đồng thời, Chính phủ đã hoàn thiện </w:t>
      </w:r>
      <w:r w:rsidRPr="00510A0D">
        <w:rPr>
          <w:spacing w:val="2"/>
        </w:rPr>
        <w:t xml:space="preserve">các cơ chế chính sách phục vụ quá trình </w:t>
      </w:r>
      <w:r w:rsidRPr="00510A0D">
        <w:t xml:space="preserve">thành lập, </w:t>
      </w:r>
      <w:r w:rsidRPr="0075308F">
        <w:t>sắp xếp, chuyển đổi, cổ phần hóa</w:t>
      </w:r>
      <w:r w:rsidRPr="00510A0D">
        <w:t>, giải thể doanh nghiệp nhà nước đảm bảo chặt chẽ, công khai, minh bạch</w:t>
      </w:r>
      <w:r w:rsidR="001D6BCF" w:rsidRPr="00510A0D">
        <w:t xml:space="preserve">, tránh thất thoát, </w:t>
      </w:r>
      <w:r w:rsidR="001D6BCF" w:rsidRPr="00510A0D">
        <w:rPr>
          <w:lang w:val="pl-PL"/>
        </w:rPr>
        <w:t>lãng phí vốn nhà nước; bước đầu hình thành được cơ cấu doanh nghiệp nhà nước hợp lý</w:t>
      </w:r>
      <w:r w:rsidR="001D6BCF" w:rsidRPr="00510A0D">
        <w:rPr>
          <w:rStyle w:val="FootnoteReference"/>
          <w:b/>
          <w:lang w:val="pl-PL"/>
        </w:rPr>
        <w:footnoteReference w:id="25"/>
      </w:r>
      <w:r w:rsidR="001D6BCF" w:rsidRPr="00510A0D">
        <w:rPr>
          <w:lang w:val="pl-PL"/>
        </w:rPr>
        <w:t xml:space="preserve">, đáp ứng yêu </w:t>
      </w:r>
      <w:r w:rsidR="001D6BCF" w:rsidRPr="00510A0D">
        <w:rPr>
          <w:lang w:val="pl-PL"/>
        </w:rPr>
        <w:lastRenderedPageBreak/>
        <w:t>cầu: (i) đảm bảo mục tiêu chiến lược về quốc phòng, an ninh quốc gia, an toàn xã hội; (ii) là công cụ khắc phục những thiếu hụt của thị trường; (iii) tạo lập, dẫn dắt để hình thành, phát triển hạ tầng kinh tế quan trọng và những ngành, lĩnh vực mũi nhọn để tạo động lực phát triển kinh tế; (iv) hỗ trợ điều tiết nền kinh tế trong các trường hợp cấp thiết (như thiên tai, dịch bệnh, sự cố nghiêm trọng,...).</w:t>
      </w:r>
      <w:bookmarkStart w:id="48" w:name="_Toc62654341"/>
    </w:p>
    <w:p w:rsidR="00E02D3A" w:rsidRPr="00510A0D" w:rsidRDefault="0008064B" w:rsidP="007E13B0">
      <w:pPr>
        <w:pStyle w:val="Heading3"/>
        <w:rPr>
          <w:kern w:val="36"/>
          <w:lang w:eastAsia="vi-VN"/>
        </w:rPr>
      </w:pPr>
      <w:r w:rsidRPr="00510A0D">
        <w:t xml:space="preserve">2.5. Chính sách </w:t>
      </w:r>
      <w:r w:rsidRPr="00510A0D">
        <w:rPr>
          <w:kern w:val="36"/>
          <w:lang w:eastAsia="vi-VN"/>
        </w:rPr>
        <w:t>đổi mới khu vực sự nghiệp công lập</w:t>
      </w:r>
      <w:bookmarkEnd w:id="48"/>
    </w:p>
    <w:p w:rsidR="009F0F87" w:rsidRDefault="0008064B" w:rsidP="007E13B0">
      <w:r w:rsidRPr="00510A0D">
        <w:t>Tiếp tục đổi mới mạnh mẽ khung pháp lý về cơ chế tự chủ đối với đơn vị sự nghiệp công lập, Quốc hội đã ban hành Luật NSNN, Luật phí và lệ phí, Chính phủ ban hành Nghị định 16/2015/NĐ-CP</w:t>
      </w:r>
      <w:r w:rsidR="00305683" w:rsidRPr="00510A0D">
        <w:t xml:space="preserve"> ngày 14/02/2015</w:t>
      </w:r>
      <w:r w:rsidRPr="00510A0D">
        <w:rPr>
          <w:rStyle w:val="FootnoteReference"/>
          <w:b/>
          <w:lang w:val="nl-NL"/>
        </w:rPr>
        <w:footnoteReference w:id="26"/>
      </w:r>
      <w:r w:rsidR="00305683" w:rsidRPr="00510A0D">
        <w:t xml:space="preserve"> </w:t>
      </w:r>
      <w:r w:rsidR="00305683" w:rsidRPr="00510A0D">
        <w:rPr>
          <w:lang w:val="sv-SE"/>
        </w:rPr>
        <w:t>quy định</w:t>
      </w:r>
      <w:r w:rsidRPr="00510A0D">
        <w:t xml:space="preserve"> cơ chế tự chủ đối với đơn vị sự nghiệp công lập, Nghị định số 32/2019/NĐ-CP</w:t>
      </w:r>
      <w:r w:rsidR="002F1780" w:rsidRPr="00510A0D">
        <w:t xml:space="preserve"> ngày 10/04/2019</w:t>
      </w:r>
      <w:r w:rsidRPr="00510A0D">
        <w:t xml:space="preserve"> về giao nhiệm vụ, đặt hàng hoặc đấu thầu cung cấp sản phẩm, dịch vụ công sử dụng NSNN</w:t>
      </w:r>
      <w:r w:rsidR="00F975F2" w:rsidRPr="00510A0D">
        <w:t xml:space="preserve">; </w:t>
      </w:r>
      <w:r w:rsidR="00F975F2" w:rsidRPr="00510A0D">
        <w:rPr>
          <w:lang w:val="sv-SE"/>
        </w:rPr>
        <w:t>Nghị định số 150/2020/NĐ-CP ngày 25/12/2020 về chuyển đơn vị sự nghiệp công lập thành công ty cổ phần</w:t>
      </w:r>
      <w:r w:rsidR="0069668E" w:rsidRPr="00510A0D">
        <w:rPr>
          <w:lang w:val="sv-SE"/>
        </w:rPr>
        <w:t xml:space="preserve">. Theo đó, </w:t>
      </w:r>
      <w:r w:rsidR="00F975F2" w:rsidRPr="00510A0D">
        <w:rPr>
          <w:spacing w:val="-2"/>
          <w:lang w:val="nl-NL"/>
        </w:rPr>
        <w:t>triển khai cơ chế tự chủ, chuyển đổi từ phí sang giá dịch vụ giáo dục</w:t>
      </w:r>
      <w:r w:rsidR="00D738D4">
        <w:rPr>
          <w:spacing w:val="-2"/>
          <w:lang w:val="nl-NL"/>
        </w:rPr>
        <w:t xml:space="preserve"> </w:t>
      </w:r>
      <w:r w:rsidR="00F975F2" w:rsidRPr="00510A0D">
        <w:rPr>
          <w:spacing w:val="-2"/>
          <w:lang w:val="nl-NL"/>
        </w:rPr>
        <w:t>-</w:t>
      </w:r>
      <w:r w:rsidR="00D738D4">
        <w:rPr>
          <w:spacing w:val="-2"/>
          <w:lang w:val="nl-NL"/>
        </w:rPr>
        <w:t xml:space="preserve"> </w:t>
      </w:r>
      <w:r w:rsidR="00F975F2" w:rsidRPr="00510A0D">
        <w:rPr>
          <w:spacing w:val="-2"/>
          <w:lang w:val="nl-NL"/>
        </w:rPr>
        <w:t>đào tạo, y tế</w:t>
      </w:r>
      <w:r w:rsidR="0069668E" w:rsidRPr="00510A0D">
        <w:rPr>
          <w:spacing w:val="-2"/>
          <w:lang w:val="nl-NL"/>
        </w:rPr>
        <w:t>,...</w:t>
      </w:r>
      <w:r w:rsidR="00F975F2" w:rsidRPr="00510A0D">
        <w:rPr>
          <w:spacing w:val="-2"/>
          <w:lang w:val="nl-NL"/>
        </w:rPr>
        <w:t xml:space="preserve"> là bước tiến quan trọng trong đổi mới cơ chế tài chính đơn vị sự nghiệp công lập trong các</w:t>
      </w:r>
      <w:r w:rsidR="00F975F2" w:rsidRPr="00510A0D">
        <w:rPr>
          <w:spacing w:val="-2"/>
          <w:lang w:val="vi-VN"/>
        </w:rPr>
        <w:t xml:space="preserve"> </w:t>
      </w:r>
      <w:r w:rsidR="00F975F2" w:rsidRPr="00510A0D">
        <w:rPr>
          <w:spacing w:val="-2"/>
          <w:lang w:val="nl-NL"/>
        </w:rPr>
        <w:t>lĩnh vực này, thu hút thêm</w:t>
      </w:r>
      <w:r w:rsidR="00F975F2" w:rsidRPr="00510A0D">
        <w:rPr>
          <w:spacing w:val="-2"/>
          <w:lang w:val="vi-VN"/>
        </w:rPr>
        <w:t xml:space="preserve"> </w:t>
      </w:r>
      <w:r w:rsidR="00F975F2" w:rsidRPr="00510A0D">
        <w:rPr>
          <w:spacing w:val="-2"/>
          <w:lang w:val="nl-NL"/>
        </w:rPr>
        <w:t>các nguồn lực đầu</w:t>
      </w:r>
      <w:r w:rsidR="00F975F2" w:rsidRPr="00510A0D">
        <w:rPr>
          <w:spacing w:val="-2"/>
          <w:lang w:val="vi-VN"/>
        </w:rPr>
        <w:t xml:space="preserve"> tư </w:t>
      </w:r>
      <w:r w:rsidR="00F975F2" w:rsidRPr="00510A0D">
        <w:rPr>
          <w:spacing w:val="-2"/>
          <w:lang w:val="nl-NL"/>
        </w:rPr>
        <w:t xml:space="preserve">xã hội. Thực hiện sắp xếp, giảm đầu mối, giảm biên chế hưởng lương từ NSNN. </w:t>
      </w:r>
      <w:proofErr w:type="gramStart"/>
      <w:r w:rsidRPr="00510A0D">
        <w:t>Một số tỉnh, thành phố đã ban hành danh mục sự nghiệp công sử dụng NSNN để đảm bảo phù hợp với đặc thù và khả năng NSĐP (07 tỉnh) và quy hoạch mạng lưới các đơn vị sự nghiệp công lập thuộc một số lĩnh vực trực thuộc địa phương (08 tỉnh).</w:t>
      </w:r>
      <w:proofErr w:type="gramEnd"/>
      <w:r w:rsidRPr="00510A0D">
        <w:t xml:space="preserve"> </w:t>
      </w:r>
      <w:bookmarkStart w:id="49" w:name="_Toc62654342"/>
    </w:p>
    <w:p w:rsidR="009F0F87" w:rsidRPr="00510A0D" w:rsidRDefault="0008064B" w:rsidP="007E13B0">
      <w:pPr>
        <w:pStyle w:val="Heading3"/>
      </w:pPr>
      <w:r w:rsidRPr="00510A0D">
        <w:t xml:space="preserve">2.6. </w:t>
      </w:r>
      <w:bookmarkStart w:id="50" w:name="_Toc53064591"/>
      <w:r w:rsidRPr="00510A0D">
        <w:t>Các cơ chế, chính sách khác</w:t>
      </w:r>
      <w:bookmarkEnd w:id="49"/>
      <w:bookmarkEnd w:id="50"/>
    </w:p>
    <w:p w:rsidR="009F0F87" w:rsidRPr="00510A0D" w:rsidRDefault="0008064B" w:rsidP="007E13B0">
      <w:r w:rsidRPr="00510A0D">
        <w:t>Thực hiện Luật NSNN, các địa phương bố trí dự phòng ngân sách từ 2% đến 4% tổng chi NSĐP để thực hiện phòng, chống, khắc phục hậu quả thiên tai, thảm họa, dịch bệnh, cứu đói; nhiệm vụ quan trọng về quốc phòng, an ninh và các nhiệm vụ cần thiết khác. Nghị quyết số 1023/NQ-</w:t>
      </w:r>
      <w:r w:rsidR="00BC2260" w:rsidRPr="00BC2260">
        <w:t xml:space="preserve"> </w:t>
      </w:r>
      <w:r w:rsidR="00BC2260">
        <w:t>UBTVQH13</w:t>
      </w:r>
      <w:r w:rsidRPr="00510A0D">
        <w:t xml:space="preserve"> của Ủy ban Thường vụ Quốc hội và Quyết định số 40/QĐ-TTg của Thủ tướng Chính phủ về nguyên tắc, tiêu chí, định mức phân bổ</w:t>
      </w:r>
      <w:r w:rsidR="002C19CF" w:rsidRPr="00510A0D">
        <w:t xml:space="preserve"> vốn đầu tư phát triển nguồn </w:t>
      </w:r>
      <w:r w:rsidRPr="00510A0D">
        <w:t xml:space="preserve">NSNN giai đoạn </w:t>
      </w:r>
      <w:r w:rsidR="0026450F" w:rsidRPr="00510A0D">
        <w:t>2016 - 2020</w:t>
      </w:r>
      <w:r w:rsidRPr="00510A0D">
        <w:t xml:space="preserve"> yêu cầu các địa phương ưu tiên tập trung vốn cho các dự án quan trọng, cấp bách, các dự án phòng, chống hạn, xâm nhập mặn, dự án ứng phó biến đổi khí hậu. </w:t>
      </w:r>
    </w:p>
    <w:p w:rsidR="009F0F87" w:rsidRPr="00510A0D" w:rsidRDefault="0008064B" w:rsidP="007E13B0">
      <w:r w:rsidRPr="00510A0D">
        <w:t xml:space="preserve">Đồng thời, Quốc hội, Chính phủ đã bố trí vốn cho các địa phương thông qua 02 Chương trình mục tiêu: Chương trình biến đổi khí hậu; Chương trình tái cơ cấu kinh tế nông nghiệp và Phòng chống thiên tai. </w:t>
      </w:r>
      <w:r w:rsidR="00001DEB" w:rsidRPr="00510A0D">
        <w:t>T</w:t>
      </w:r>
      <w:r w:rsidRPr="00510A0D">
        <w:t xml:space="preserve">rong quá trình điều hành ngân sách hàng năm, căn cứ vào khả năng cân đối NSTW, Chính phủ hỗ trợ các địa phương </w:t>
      </w:r>
      <w:r w:rsidR="00CA190D" w:rsidRPr="00510A0D">
        <w:t xml:space="preserve">khó khăn về ngân sách, </w:t>
      </w:r>
      <w:r w:rsidRPr="00510A0D">
        <w:t>bị ảnh hưởng bởi thiên tai, ảnh hưởng biến đổi khí hậu để đầu tư các dự án đê kè, sạt lở bở sông, bờ biển, dự án di dân khẩn cấp do sạt lở bờ sông, bờ biển, đường cứu hộ cứu nạn bị ảnh hưởng bởi mưa lũ.</w:t>
      </w:r>
    </w:p>
    <w:p w:rsidR="009F0F87" w:rsidRPr="007E13B0" w:rsidRDefault="0008064B" w:rsidP="007E13B0">
      <w:r w:rsidRPr="007E13B0">
        <w:t xml:space="preserve">Chính phủ đã ban hành Nghị quyết số 117/NQ-CP ngày 09/11/2017 và Nghị </w:t>
      </w:r>
      <w:r w:rsidRPr="007E13B0">
        <w:lastRenderedPageBreak/>
        <w:t>quyết 120/NQ-CP ngày 17/11/2017 về phát triển bền vững vùng ĐBSCL, trong đó giao Bộ NN&amp;PTNT chủ trì, phối hợp với các Bộ, cơ quan, địa phương liên quan rà soát, xây dựng Dự án tổng thể di dời dân cư khẩn cấp phòng chống lũ ống, lũ quét, sạt lở đất tại các địa phương, xây dựng Đề án bảo vệ bờ biển, củng cố nâng cấp hệ thống đê biển, phòng chống x</w:t>
      </w:r>
      <w:r w:rsidR="001B4E8D" w:rsidRPr="007E13B0">
        <w:t>ó</w:t>
      </w:r>
      <w:r w:rsidRPr="007E13B0">
        <w:t>i lở bờ biển; tập trung đầu tư xử lý ngay những đoạn xói lở, sạt lở bờ sông, bờ biển nghiêm trọng.</w:t>
      </w:r>
    </w:p>
    <w:p w:rsidR="009F0F87" w:rsidRPr="00510A0D" w:rsidRDefault="0008064B" w:rsidP="007E13B0">
      <w:pPr>
        <w:rPr>
          <w:spacing w:val="-4"/>
          <w:lang w:val="nl-NL"/>
        </w:rPr>
      </w:pPr>
      <w:r w:rsidRPr="00510A0D">
        <w:rPr>
          <w:lang w:val="it-IT"/>
        </w:rPr>
        <w:t>Quốc hội thông qua Luật Quản lý tài sản công năm 2017 để bao quát tất cả các loại tài sản công; hoàn thiện hệ thống tiêu chuẩn, định mức sử dụng tài sản công, chế độ quản lý, sử dụng tài sản công tại cơ quan, tổ chức, đơn vị; bổ sung chế độ quản lý, khai thác tài sản kết cấu hạ tầng, tài sản được xác lập sở hữu toàn dân, tài sản của các dự án sử dụng vốn nhà nước; khai thác nguồn lực tài chính từ đất đai, tài nguyên và các loại tài sả</w:t>
      </w:r>
      <w:r w:rsidR="00A32D6D" w:rsidRPr="00510A0D">
        <w:rPr>
          <w:lang w:val="it-IT"/>
        </w:rPr>
        <w:t>n công khác.</w:t>
      </w:r>
      <w:r w:rsidR="00A32D6D" w:rsidRPr="00510A0D">
        <w:rPr>
          <w:lang w:val="nl-NL" w:eastAsia="vi-VN"/>
        </w:rPr>
        <w:t>..</w:t>
      </w:r>
      <w:r w:rsidR="00A32D6D" w:rsidRPr="00510A0D">
        <w:rPr>
          <w:spacing w:val="2"/>
          <w:lang w:val="nl-NL"/>
        </w:rPr>
        <w:t xml:space="preserve"> </w:t>
      </w:r>
      <w:r w:rsidR="00A32D6D" w:rsidRPr="00510A0D">
        <w:rPr>
          <w:lang w:val="it-IT"/>
        </w:rPr>
        <w:t>Các chính sách trên đã góp phần quản lý chặt chẽ hơn tài sản công, khắc phục tình trạng tham nhũng, lãng phí trong quản lý, sử dụng tài sản công và các nguồn lực tài chính quốc gia; tăng cường tiết kiệm chi và đảm bảo nguồn thu NSNN</w:t>
      </w:r>
      <w:r w:rsidR="00A32D6D" w:rsidRPr="00510A0D">
        <w:rPr>
          <w:spacing w:val="-4"/>
          <w:lang w:val="pt-BR"/>
        </w:rPr>
        <w:t>; tăng cường công khai, minh bạch; gắn với huy động thêm các nguồn lực của xã hội cho đầu tư phát triển; c</w:t>
      </w:r>
      <w:r w:rsidR="00A32D6D" w:rsidRPr="00510A0D">
        <w:rPr>
          <w:spacing w:val="-4"/>
          <w:lang w:val="nl-NL"/>
        </w:rPr>
        <w:t>ập nhật, chuẩn hoá Cơ sở dữ liệu quốc gia về tài sản công</w:t>
      </w:r>
      <w:r w:rsidR="00A32D6D" w:rsidRPr="00510A0D">
        <w:rPr>
          <w:b/>
          <w:spacing w:val="-4"/>
          <w:vertAlign w:val="superscript"/>
          <w:lang w:val="nl-NL"/>
        </w:rPr>
        <w:footnoteReference w:id="27"/>
      </w:r>
      <w:r w:rsidR="00A32D6D" w:rsidRPr="00510A0D">
        <w:rPr>
          <w:spacing w:val="-4"/>
          <w:lang w:val="nl-NL"/>
        </w:rPr>
        <w:t>.</w:t>
      </w:r>
    </w:p>
    <w:p w:rsidR="00D93A86" w:rsidRPr="00510A0D" w:rsidRDefault="0008064B" w:rsidP="007E13B0">
      <w:pPr>
        <w:pStyle w:val="Heading2"/>
      </w:pPr>
      <w:bookmarkStart w:id="51" w:name="_Toc62654343"/>
      <w:bookmarkStart w:id="52" w:name="_Toc62657711"/>
      <w:bookmarkStart w:id="53" w:name="_Toc87619917"/>
      <w:r w:rsidRPr="00510A0D">
        <w:t xml:space="preserve">3. </w:t>
      </w:r>
      <w:bookmarkStart w:id="54" w:name="_Toc53064592"/>
      <w:r w:rsidRPr="00510A0D">
        <w:t>Tổ chức bộ máy quản lý vay, nợ ở địa phương</w:t>
      </w:r>
      <w:bookmarkEnd w:id="51"/>
      <w:bookmarkEnd w:id="52"/>
      <w:bookmarkEnd w:id="53"/>
      <w:bookmarkEnd w:id="54"/>
    </w:p>
    <w:p w:rsidR="00D93A86" w:rsidRPr="00510A0D" w:rsidRDefault="004B7864" w:rsidP="007E13B0">
      <w:pPr>
        <w:pStyle w:val="norm"/>
      </w:pPr>
      <w:r w:rsidRPr="00510A0D">
        <w:t xml:space="preserve">Căn cứ </w:t>
      </w:r>
      <w:r w:rsidR="0008064B" w:rsidRPr="00510A0D">
        <w:t>Nghị định số 107/2020/NĐ-CP</w:t>
      </w:r>
      <w:r w:rsidR="0008064B" w:rsidRPr="00510A0D">
        <w:rPr>
          <w:rStyle w:val="FootnoteReference"/>
          <w:b/>
        </w:rPr>
        <w:footnoteReference w:id="28"/>
      </w:r>
      <w:r w:rsidR="0008064B" w:rsidRPr="00510A0D">
        <w:t xml:space="preserve"> ngày 14/9/2020 sửa đổi, bổ sung một số điều của Nghị định số 24/2014/NĐ-CP ngày 04/4/2014</w:t>
      </w:r>
      <w:r w:rsidRPr="00510A0D">
        <w:t xml:space="preserve"> của Chính phủ </w:t>
      </w:r>
      <w:r w:rsidR="0008064B" w:rsidRPr="00510A0D">
        <w:t xml:space="preserve">quy định tổ chức các cơ quan chuyên môn thuộc </w:t>
      </w:r>
      <w:r w:rsidR="00F93C77">
        <w:t>UBND</w:t>
      </w:r>
      <w:r w:rsidRPr="00510A0D">
        <w:t xml:space="preserve"> các</w:t>
      </w:r>
      <w:r w:rsidR="0008064B" w:rsidRPr="00510A0D">
        <w:t xml:space="preserve"> tỉnh, thành phố</w:t>
      </w:r>
      <w:r w:rsidRPr="00510A0D">
        <w:t xml:space="preserve"> trực thuộc Trung ương, </w:t>
      </w:r>
      <w:r w:rsidR="00F93C77">
        <w:t>UBND</w:t>
      </w:r>
      <w:r w:rsidRPr="00510A0D">
        <w:t xml:space="preserve"> cấp</w:t>
      </w:r>
      <w:r w:rsidR="0008064B" w:rsidRPr="00510A0D">
        <w:t xml:space="preserve"> tỉnh chỉ đạo rà soát, điều chỉnh chức năng, nhiệm vụ và cơ cấu tổ chức bộ máy biên chế của các sở, ban, ngành, đoàn thể và cấp huyện, cấp xã theo hướng tinh gọn, nhất là các cơ quan, đơn vị gắn trách nhiệm quản lý vay, trả nợ và công tác phối hợp, giám sát vay, trả nợ trong thực hiện nhiệm vụ. Tiếp tục đổi mới công tác quản lý cán bộ, công chức, xây dựng chế độ công vụ rõ ràng, minh bạch, thường xuyên đào tạo, bồi dưỡng chuyên môn, nghiệp vụ cho đội ngũ cán bộ công chức làm công tác tài chính; nâng cao năng lực dự báo và xây dựng kế hoạch tài chính - </w:t>
      </w:r>
      <w:r w:rsidR="00DD70A2" w:rsidRPr="00510A0D">
        <w:t>NSNN</w:t>
      </w:r>
      <w:r w:rsidR="0008064B" w:rsidRPr="00510A0D">
        <w:t xml:space="preserve"> và quản lý nợ công.</w:t>
      </w:r>
    </w:p>
    <w:p w:rsidR="00D93A86" w:rsidRPr="00510A0D" w:rsidRDefault="003926F8" w:rsidP="007E13B0">
      <w:pPr>
        <w:pStyle w:val="Heading1"/>
      </w:pPr>
      <w:bookmarkStart w:id="55" w:name="_Toc53064595"/>
      <w:bookmarkStart w:id="56" w:name="_Toc62654344"/>
      <w:bookmarkStart w:id="57" w:name="_Toc62657712"/>
      <w:bookmarkStart w:id="58" w:name="_Toc87619918"/>
      <w:r w:rsidRPr="00510A0D">
        <w:t xml:space="preserve">III. </w:t>
      </w:r>
      <w:r w:rsidR="00062A60" w:rsidRPr="00510A0D">
        <w:t xml:space="preserve">ĐÁNH GIÁ </w:t>
      </w:r>
      <w:r w:rsidR="0008064B" w:rsidRPr="00510A0D">
        <w:t>CÔNG TÁC QUẢN LÝ THU NSNN, CHI NSĐP, VAY, NỢ CỦA CHÍNH QUYỀN ĐỊA PHƯƠNG GIAI ĐOẠ</w:t>
      </w:r>
      <w:r w:rsidR="00CF184B" w:rsidRPr="00510A0D">
        <w:t xml:space="preserve">N 2016 </w:t>
      </w:r>
      <w:r w:rsidR="00D93A86" w:rsidRPr="00510A0D">
        <w:t>–</w:t>
      </w:r>
      <w:r w:rsidR="0008064B" w:rsidRPr="00510A0D">
        <w:t xml:space="preserve"> 2020</w:t>
      </w:r>
      <w:bookmarkStart w:id="59" w:name="_Toc53064596"/>
      <w:bookmarkStart w:id="60" w:name="_Toc62654345"/>
      <w:bookmarkStart w:id="61" w:name="_Toc62657713"/>
      <w:bookmarkEnd w:id="55"/>
      <w:bookmarkEnd w:id="56"/>
      <w:bookmarkEnd w:id="57"/>
      <w:bookmarkEnd w:id="58"/>
    </w:p>
    <w:p w:rsidR="00D93A86" w:rsidRPr="00510A0D" w:rsidRDefault="005A0303" w:rsidP="007E13B0">
      <w:pPr>
        <w:pStyle w:val="Heading2"/>
      </w:pPr>
      <w:bookmarkStart w:id="62" w:name="_Toc87619919"/>
      <w:r w:rsidRPr="00510A0D">
        <w:t xml:space="preserve">1. </w:t>
      </w:r>
      <w:r w:rsidR="00127C14" w:rsidRPr="00510A0D">
        <w:t xml:space="preserve">Kết quả </w:t>
      </w:r>
      <w:r w:rsidR="0008064B" w:rsidRPr="00510A0D">
        <w:t xml:space="preserve">thu </w:t>
      </w:r>
      <w:r w:rsidR="00127C14" w:rsidRPr="00510A0D">
        <w:t>NSNN</w:t>
      </w:r>
      <w:r w:rsidR="0008064B" w:rsidRPr="00510A0D">
        <w:t xml:space="preserve">, chi </w:t>
      </w:r>
      <w:bookmarkEnd w:id="59"/>
      <w:r w:rsidR="00127C14" w:rsidRPr="00510A0D">
        <w:t>NSĐP</w:t>
      </w:r>
      <w:bookmarkStart w:id="63" w:name="_Toc62654346"/>
      <w:bookmarkEnd w:id="60"/>
      <w:bookmarkEnd w:id="61"/>
      <w:bookmarkEnd w:id="62"/>
    </w:p>
    <w:p w:rsidR="00D93A86" w:rsidRPr="000074EE" w:rsidRDefault="0008064B" w:rsidP="007E13B0">
      <w:pPr>
        <w:pStyle w:val="Heading3"/>
      </w:pPr>
      <w:r w:rsidRPr="000074EE">
        <w:lastRenderedPageBreak/>
        <w:t xml:space="preserve">1.1. </w:t>
      </w:r>
      <w:r w:rsidR="00992922" w:rsidRPr="000074EE">
        <w:t>T</w:t>
      </w:r>
      <w:r w:rsidRPr="000074EE">
        <w:t>hu NSNN trên địa bàn</w:t>
      </w:r>
      <w:bookmarkEnd w:id="63"/>
    </w:p>
    <w:p w:rsidR="000074EE" w:rsidRDefault="0008064B" w:rsidP="007E13B0">
      <w:pPr>
        <w:rPr>
          <w:lang w:val="nl-NL"/>
        </w:rPr>
      </w:pPr>
      <w:r w:rsidRPr="00510A0D">
        <w:rPr>
          <w:lang w:val="it-IT"/>
        </w:rPr>
        <w:t>T</w:t>
      </w:r>
      <w:r w:rsidRPr="00510A0D">
        <w:rPr>
          <w:lang w:val="nl-NL"/>
        </w:rPr>
        <w:t>hu NSNN giai đoạn 2016 - 2020 chuyển biến tích cực, cho tới trước khi xảy ra đại dịch Covid-19, các địa phương cơ bản đều vượt dự toán thu NSNN</w:t>
      </w:r>
      <w:r w:rsidRPr="00510A0D">
        <w:rPr>
          <w:rStyle w:val="FootnoteReference"/>
          <w:b/>
          <w:lang w:val="nl-NL"/>
        </w:rPr>
        <w:footnoteReference w:id="29"/>
      </w:r>
      <w:r w:rsidRPr="00510A0D">
        <w:rPr>
          <w:lang w:val="nl-NL"/>
        </w:rPr>
        <w:t xml:space="preserve">. Theo đó, tổng thu NSNN đạt khoảng </w:t>
      </w:r>
      <w:r w:rsidRPr="00510A0D">
        <w:rPr>
          <w:b/>
          <w:lang w:val="nl-NL"/>
        </w:rPr>
        <w:t>6,</w:t>
      </w:r>
      <w:r w:rsidR="00B10428" w:rsidRPr="00510A0D">
        <w:rPr>
          <w:b/>
          <w:lang w:val="nl-NL"/>
        </w:rPr>
        <w:t>5</w:t>
      </w:r>
      <w:r w:rsidRPr="00510A0D">
        <w:rPr>
          <w:lang w:val="nl-NL"/>
        </w:rPr>
        <w:t xml:space="preserve"> triệu tỷ đồng, hoàn thành vượt kế hoạch đề ra (bằng </w:t>
      </w:r>
      <w:r w:rsidRPr="00510A0D">
        <w:rPr>
          <w:b/>
          <w:lang w:val="nl-NL"/>
        </w:rPr>
        <w:t>10</w:t>
      </w:r>
      <w:r w:rsidR="00B10428" w:rsidRPr="00510A0D">
        <w:rPr>
          <w:b/>
          <w:lang w:val="nl-NL"/>
        </w:rPr>
        <w:t>8</w:t>
      </w:r>
      <w:r w:rsidRPr="00510A0D">
        <w:rPr>
          <w:b/>
          <w:lang w:val="nl-NL"/>
        </w:rPr>
        <w:t>,</w:t>
      </w:r>
      <w:r w:rsidR="00B10428" w:rsidRPr="00510A0D">
        <w:rPr>
          <w:b/>
          <w:lang w:val="nl-NL"/>
        </w:rPr>
        <w:t>7</w:t>
      </w:r>
      <w:r w:rsidRPr="00510A0D">
        <w:rPr>
          <w:b/>
          <w:lang w:val="nl-NL"/>
        </w:rPr>
        <w:t>%</w:t>
      </w:r>
      <w:r w:rsidRPr="00510A0D">
        <w:rPr>
          <w:lang w:val="nl-NL"/>
        </w:rPr>
        <w:t xml:space="preserve">) so với dự toán Thủ tướng Chính phủ giao. </w:t>
      </w:r>
      <w:r w:rsidR="00D93A86" w:rsidRPr="00510A0D">
        <w:rPr>
          <w:lang w:val="nl-NL"/>
        </w:rPr>
        <w:t>Q</w:t>
      </w:r>
      <w:r w:rsidRPr="00510A0D">
        <w:rPr>
          <w:lang w:val="nl-NL"/>
        </w:rPr>
        <w:t>uy mô thu NSNN bình quân đạt khoảng 24,5%</w:t>
      </w:r>
      <w:r w:rsidR="00FE5F77" w:rsidRPr="00510A0D">
        <w:rPr>
          <w:lang w:val="nl-NL"/>
        </w:rPr>
        <w:t xml:space="preserve"> </w:t>
      </w:r>
      <w:r w:rsidRPr="00510A0D">
        <w:rPr>
          <w:lang w:val="nl-NL"/>
        </w:rPr>
        <w:t xml:space="preserve">GDP (giai đoạn </w:t>
      </w:r>
      <w:r w:rsidR="00F2282D">
        <w:rPr>
          <w:lang w:val="nl-NL"/>
        </w:rPr>
        <w:t>2011 - 2015</w:t>
      </w:r>
      <w:r w:rsidRPr="00510A0D">
        <w:rPr>
          <w:lang w:val="nl-NL"/>
        </w:rPr>
        <w:t xml:space="preserve"> là 23,6%</w:t>
      </w:r>
      <w:r w:rsidR="00FE5F77" w:rsidRPr="00510A0D">
        <w:rPr>
          <w:lang w:val="nl-NL"/>
        </w:rPr>
        <w:t xml:space="preserve"> </w:t>
      </w:r>
      <w:r w:rsidRPr="00510A0D">
        <w:rPr>
          <w:lang w:val="nl-NL"/>
        </w:rPr>
        <w:t>GDP), vượt mục tiêu đề ra tại Nghị quyết 25/2016/QH14 của Quốc hội (23,5%</w:t>
      </w:r>
      <w:r w:rsidR="00FE5F77" w:rsidRPr="00510A0D">
        <w:rPr>
          <w:lang w:val="nl-NL"/>
        </w:rPr>
        <w:t xml:space="preserve"> </w:t>
      </w:r>
      <w:r w:rsidRPr="00510A0D">
        <w:rPr>
          <w:lang w:val="nl-NL"/>
        </w:rPr>
        <w:t xml:space="preserve">GDP); gấp </w:t>
      </w:r>
      <w:r w:rsidRPr="00510A0D">
        <w:rPr>
          <w:b/>
          <w:lang w:val="nl-NL"/>
        </w:rPr>
        <w:t>1,58</w:t>
      </w:r>
      <w:r w:rsidRPr="00510A0D">
        <w:rPr>
          <w:lang w:val="nl-NL"/>
        </w:rPr>
        <w:t xml:space="preserve"> lần so với giai đoạn </w:t>
      </w:r>
      <w:r w:rsidR="00F2282D">
        <w:rPr>
          <w:lang w:val="nl-NL"/>
        </w:rPr>
        <w:t>2011 - 2015</w:t>
      </w:r>
      <w:r w:rsidRPr="00510A0D">
        <w:rPr>
          <w:lang w:val="nl-NL"/>
        </w:rPr>
        <w:t xml:space="preserve">. Tỷ lệ thu từ thuế, phí </w:t>
      </w:r>
      <w:r w:rsidRPr="00510A0D">
        <w:rPr>
          <w:lang w:val="pt-BR"/>
        </w:rPr>
        <w:t>khoảng 20,4%</w:t>
      </w:r>
      <w:r w:rsidR="00FE5F77" w:rsidRPr="00510A0D">
        <w:rPr>
          <w:lang w:val="pt-BR"/>
        </w:rPr>
        <w:t xml:space="preserve"> </w:t>
      </w:r>
      <w:r w:rsidRPr="00510A0D">
        <w:rPr>
          <w:lang w:val="pt-BR"/>
        </w:rPr>
        <w:t>GDP</w:t>
      </w:r>
      <w:r w:rsidRPr="00510A0D">
        <w:rPr>
          <w:lang w:val="vi-VN"/>
        </w:rPr>
        <w:t xml:space="preserve">. </w:t>
      </w:r>
      <w:r w:rsidRPr="00510A0D">
        <w:rPr>
          <w:lang w:val="nl-NL"/>
        </w:rPr>
        <w:t xml:space="preserve"> </w:t>
      </w:r>
    </w:p>
    <w:p w:rsidR="000074EE" w:rsidRDefault="0008064B" w:rsidP="007E13B0">
      <w:pPr>
        <w:rPr>
          <w:lang w:val="nl-NL"/>
        </w:rPr>
      </w:pPr>
      <w:r w:rsidRPr="00510A0D">
        <w:rPr>
          <w:lang w:val="pt-BR"/>
        </w:rPr>
        <w:t>Tỷ trọng thu nội địa tăng dần, chiếm tỷ trọng khoảng</w:t>
      </w:r>
      <w:r w:rsidR="00CC7C35" w:rsidRPr="00510A0D">
        <w:rPr>
          <w:lang w:val="pt-BR"/>
        </w:rPr>
        <w:t xml:space="preserve"> </w:t>
      </w:r>
      <w:r w:rsidR="00996BB2" w:rsidRPr="00510A0D">
        <w:rPr>
          <w:b/>
          <w:lang w:val="pt-BR"/>
        </w:rPr>
        <w:t>77</w:t>
      </w:r>
      <w:r w:rsidRPr="00510A0D">
        <w:rPr>
          <w:b/>
          <w:lang w:val="pt-BR"/>
        </w:rPr>
        <w:t>%</w:t>
      </w:r>
      <w:r w:rsidRPr="00510A0D">
        <w:rPr>
          <w:lang w:val="pt-BR"/>
        </w:rPr>
        <w:t xml:space="preserve"> tổng thu NSNN (giai đoạn </w:t>
      </w:r>
      <w:r w:rsidR="00F2282D">
        <w:rPr>
          <w:lang w:val="pt-BR"/>
        </w:rPr>
        <w:t>2011 - 2015</w:t>
      </w:r>
      <w:r w:rsidRPr="00510A0D">
        <w:rPr>
          <w:lang w:val="pt-BR"/>
        </w:rPr>
        <w:t xml:space="preserve"> là </w:t>
      </w:r>
      <w:r w:rsidRPr="00510A0D">
        <w:rPr>
          <w:b/>
          <w:lang w:val="pt-BR"/>
        </w:rPr>
        <w:t>68,7%</w:t>
      </w:r>
      <w:r w:rsidRPr="00510A0D">
        <w:rPr>
          <w:lang w:val="pt-BR"/>
        </w:rPr>
        <w:t>) đã góp phần bù đắp xu hướng giảm thu từ dầu thô và thu từ thuế xuất, nhập khẩu.</w:t>
      </w:r>
      <w:r w:rsidRPr="00510A0D">
        <w:rPr>
          <w:lang w:val="it-IT"/>
        </w:rPr>
        <w:t xml:space="preserve"> </w:t>
      </w:r>
      <w:r w:rsidRPr="00510A0D">
        <w:rPr>
          <w:lang w:val="nl-NL"/>
        </w:rPr>
        <w:t>Tốc độ tăng thu nội địa từ sản xuất kinh doanh</w:t>
      </w:r>
      <w:r w:rsidRPr="00510A0D">
        <w:rPr>
          <w:rStyle w:val="FootnoteReference"/>
          <w:b/>
          <w:lang w:val="nl-NL"/>
        </w:rPr>
        <w:footnoteReference w:id="30"/>
      </w:r>
      <w:r w:rsidRPr="00510A0D">
        <w:rPr>
          <w:b/>
          <w:lang w:val="nl-NL"/>
        </w:rPr>
        <w:t xml:space="preserve"> </w:t>
      </w:r>
      <w:r w:rsidRPr="00510A0D">
        <w:rPr>
          <w:lang w:val="nl-NL"/>
        </w:rPr>
        <w:t xml:space="preserve">bình quân giai đoạn </w:t>
      </w:r>
      <w:r w:rsidR="0026450F" w:rsidRPr="00510A0D">
        <w:rPr>
          <w:lang w:val="nl-NL"/>
        </w:rPr>
        <w:t>2016 - 2020</w:t>
      </w:r>
      <w:r w:rsidRPr="00510A0D">
        <w:rPr>
          <w:lang w:val="nl-NL"/>
        </w:rPr>
        <w:t xml:space="preserve"> khoảng 6,9%/năm</w:t>
      </w:r>
      <w:r w:rsidR="006735E7" w:rsidRPr="00510A0D">
        <w:rPr>
          <w:lang w:val="nl-NL"/>
        </w:rPr>
        <w:t>,</w:t>
      </w:r>
      <w:r w:rsidRPr="00510A0D">
        <w:rPr>
          <w:lang w:val="nl-NL"/>
        </w:rPr>
        <w:t xml:space="preserve"> cơ bản phù hợp với tăng trưởng kinh tế và tốc độ tăng giá, cũng như tính tới một số ngành, lĩnh vực có năng lực sản xuất, kinh doanh đã đi vào ổn định, khó có mức tăng trưởng cao, trong đó giai đoạn 2016-2019 là các năm chưa chịu ảnh hưởng, tác động của đại dịch Covid-19, đạt trên 11%/năm.</w:t>
      </w:r>
    </w:p>
    <w:p w:rsidR="000074EE" w:rsidRDefault="0008064B" w:rsidP="007E13B0">
      <w:pPr>
        <w:rPr>
          <w:lang w:val="it-IT"/>
        </w:rPr>
      </w:pPr>
      <w:r w:rsidRPr="00510A0D">
        <w:rPr>
          <w:lang w:val="it-IT"/>
        </w:rPr>
        <w:t xml:space="preserve">Theo phân cấp, thu NSĐP có xu hướng tăng dần theo các giai đoạn cả về quy mô và tỷ trọng đã góp phần tăng cường tính tự chủ cho NSĐP. Tỷ trọng thu NSĐP trong tổng thu NSNN đã tăng từ </w:t>
      </w:r>
      <w:r w:rsidRPr="00510A0D">
        <w:rPr>
          <w:b/>
          <w:lang w:val="it-IT"/>
        </w:rPr>
        <w:t>37,4%</w:t>
      </w:r>
      <w:r w:rsidRPr="00510A0D">
        <w:rPr>
          <w:lang w:val="it-IT"/>
        </w:rPr>
        <w:t xml:space="preserve"> giai đoạn </w:t>
      </w:r>
      <w:r w:rsidR="00F2282D">
        <w:rPr>
          <w:lang w:val="it-IT"/>
        </w:rPr>
        <w:t>2011 - 2015</w:t>
      </w:r>
      <w:r w:rsidRPr="00510A0D">
        <w:rPr>
          <w:lang w:val="it-IT"/>
        </w:rPr>
        <w:t xml:space="preserve"> lên khoảng </w:t>
      </w:r>
      <w:r w:rsidRPr="00510A0D">
        <w:rPr>
          <w:b/>
          <w:lang w:val="it-IT"/>
        </w:rPr>
        <w:t>45%</w:t>
      </w:r>
      <w:r w:rsidRPr="00510A0D">
        <w:rPr>
          <w:lang w:val="it-IT"/>
        </w:rPr>
        <w:t xml:space="preserve"> giai đoạn </w:t>
      </w:r>
      <w:r w:rsidR="0026450F" w:rsidRPr="00510A0D">
        <w:rPr>
          <w:lang w:val="it-IT"/>
        </w:rPr>
        <w:t>2016 - 2020</w:t>
      </w:r>
      <w:r w:rsidRPr="00510A0D">
        <w:rPr>
          <w:lang w:val="it-IT"/>
        </w:rPr>
        <w:t xml:space="preserve">; quy mô thu NSĐP gấp khoảng </w:t>
      </w:r>
      <w:r w:rsidRPr="00510A0D">
        <w:rPr>
          <w:b/>
          <w:lang w:val="it-IT"/>
        </w:rPr>
        <w:t>1,87</w:t>
      </w:r>
      <w:r w:rsidRPr="00510A0D">
        <w:rPr>
          <w:lang w:val="it-IT"/>
        </w:rPr>
        <w:t xml:space="preserve"> lần giai đoạn </w:t>
      </w:r>
      <w:r w:rsidR="00F2282D">
        <w:rPr>
          <w:lang w:val="it-IT"/>
        </w:rPr>
        <w:t>2011 - 2015</w:t>
      </w:r>
      <w:r w:rsidRPr="00510A0D">
        <w:rPr>
          <w:lang w:val="it-IT"/>
        </w:rPr>
        <w:t xml:space="preserve">, cao hơn mức tăng quy mô thu NSNN nói chung (khoảng </w:t>
      </w:r>
      <w:r w:rsidRPr="00510A0D">
        <w:rPr>
          <w:b/>
          <w:lang w:val="it-IT"/>
        </w:rPr>
        <w:t>1,58</w:t>
      </w:r>
      <w:r w:rsidRPr="00510A0D">
        <w:rPr>
          <w:lang w:val="it-IT"/>
        </w:rPr>
        <w:t xml:space="preserve"> lần). Số lượng các địa phương có số thu NSNN vào nhóm trên 10.000 tỷ đồng</w:t>
      </w:r>
      <w:r w:rsidR="00DF79F1" w:rsidRPr="00510A0D">
        <w:rPr>
          <w:lang w:val="it-IT"/>
        </w:rPr>
        <w:t xml:space="preserve"> </w:t>
      </w:r>
      <w:r w:rsidR="00DF79F1" w:rsidRPr="00A02A17">
        <w:rPr>
          <w:lang w:val="it-IT"/>
        </w:rPr>
        <w:t>và</w:t>
      </w:r>
      <w:r w:rsidRPr="00A02A17">
        <w:rPr>
          <w:lang w:val="it-IT"/>
        </w:rPr>
        <w:t xml:space="preserve"> từ 5.000 nghìn đến dưới 10.000 tỷ đồng </w:t>
      </w:r>
      <w:r w:rsidR="00DF79F1" w:rsidRPr="00A02A17">
        <w:rPr>
          <w:lang w:val="it-IT"/>
        </w:rPr>
        <w:t>có xu hướng tăng, giảm số lượng địa phương thu</w:t>
      </w:r>
      <w:r w:rsidR="00DF79F1" w:rsidRPr="00510A0D">
        <w:rPr>
          <w:lang w:val="it-IT"/>
        </w:rPr>
        <w:t xml:space="preserve"> </w:t>
      </w:r>
      <w:r w:rsidRPr="00510A0D">
        <w:rPr>
          <w:lang w:val="it-IT"/>
        </w:rPr>
        <w:t>từ 1.000 tỷ đồng đến dưới 5.000 tỷ đồng, cụ thể: năm 2016 là 15 địa phương, 11 địa phương và 37 địa phương thì đến năm 2020 tương ứng là 25 địa phương</w:t>
      </w:r>
      <w:r w:rsidRPr="00510A0D">
        <w:rPr>
          <w:rStyle w:val="FootnoteReference"/>
          <w:b/>
          <w:lang w:val="nl-NL"/>
        </w:rPr>
        <w:footnoteReference w:id="31"/>
      </w:r>
      <w:r w:rsidRPr="00510A0D">
        <w:rPr>
          <w:lang w:val="it-IT"/>
        </w:rPr>
        <w:t xml:space="preserve">, 18 địa phương và 19 địa phương. </w:t>
      </w:r>
      <w:bookmarkStart w:id="64" w:name="_Toc62654347"/>
    </w:p>
    <w:bookmarkEnd w:id="64"/>
    <w:p w:rsidR="00A30FB8" w:rsidRPr="000074EE" w:rsidRDefault="00A30FB8" w:rsidP="007E13B0">
      <w:pPr>
        <w:pStyle w:val="Heading3"/>
      </w:pPr>
      <w:r w:rsidRPr="000074EE">
        <w:t>1.2. Chi ngân sách địa phương</w:t>
      </w:r>
    </w:p>
    <w:p w:rsidR="00A30FB8" w:rsidRPr="00A30FB8" w:rsidRDefault="00A30FB8" w:rsidP="007E13B0">
      <w:pPr>
        <w:pStyle w:val="norm"/>
        <w:rPr>
          <w:lang w:val="it-IT"/>
        </w:rPr>
      </w:pPr>
      <w:r w:rsidRPr="00A30FB8">
        <w:rPr>
          <w:lang w:val="it-IT"/>
        </w:rPr>
        <w:t>a) T</w:t>
      </w:r>
      <w:r w:rsidRPr="00A30FB8">
        <w:t>ổng chi NSĐP được kiểm soát trong phạm vi thu ngân sách và bội chi NSĐP được Quốc hội quyết định hàng năm</w:t>
      </w:r>
      <w:r w:rsidRPr="00A30FB8">
        <w:rPr>
          <w:lang w:val="it-IT"/>
        </w:rPr>
        <w:t xml:space="preserve">. Tổng chi NSĐP 5 năm 2016 - 2020 đạt khoảng </w:t>
      </w:r>
      <w:r w:rsidRPr="00A30FB8">
        <w:rPr>
          <w:b/>
          <w:lang w:val="it-IT"/>
        </w:rPr>
        <w:t>5,4</w:t>
      </w:r>
      <w:r w:rsidRPr="00A30FB8">
        <w:rPr>
          <w:lang w:val="it-IT"/>
        </w:rPr>
        <w:t xml:space="preserve"> triệu tỷ đồng, đạt khoảng </w:t>
      </w:r>
      <w:r w:rsidRPr="00A30FB8">
        <w:rPr>
          <w:b/>
          <w:lang w:val="it-IT"/>
        </w:rPr>
        <w:t>126%</w:t>
      </w:r>
      <w:r w:rsidRPr="00A30FB8">
        <w:rPr>
          <w:lang w:val="it-IT"/>
        </w:rPr>
        <w:t xml:space="preserve"> dự toán Thủ tướng Chính phủ </w:t>
      </w:r>
      <w:r w:rsidRPr="00A30FB8">
        <w:rPr>
          <w:lang w:val="it-IT"/>
        </w:rPr>
        <w:lastRenderedPageBreak/>
        <w:t xml:space="preserve">giao; </w:t>
      </w:r>
      <w:r w:rsidRPr="00A30FB8">
        <w:t>Cơ cấu chi tiếp tục chuyển dịch tích cực, tăng tỷ trọng chi đầu tư phát triển</w:t>
      </w:r>
      <w:r w:rsidRPr="00A30FB8">
        <w:rPr>
          <w:lang w:val="it-IT"/>
        </w:rPr>
        <w:t>; ưu tiên thực hiện các chủ trương, định hướng lớn của Đảng và Nhà nước</w:t>
      </w:r>
      <w:r w:rsidRPr="00A30FB8">
        <w:rPr>
          <w:b/>
          <w:vertAlign w:val="superscript"/>
          <w:lang w:val="it-IT"/>
        </w:rPr>
        <w:footnoteReference w:id="32"/>
      </w:r>
      <w:r w:rsidRPr="00A30FB8">
        <w:rPr>
          <w:lang w:val="it-IT"/>
        </w:rPr>
        <w:t>. Thực hiện chính sách an sinh xã hội; kiểm soát chặt chẽ giá cả thị trường, bình ổn giá, chi từ nguồn NSĐP thanh toán cho các hàng hóa, dịch vụ được nhà nước đặt hàng, giao kế hoạch sản xuất.</w:t>
      </w:r>
    </w:p>
    <w:p w:rsidR="00A30FB8" w:rsidRPr="00A30FB8" w:rsidRDefault="00A30FB8" w:rsidP="007E13B0">
      <w:pPr>
        <w:pStyle w:val="norm"/>
        <w:rPr>
          <w:lang w:val="nl-NL"/>
        </w:rPr>
      </w:pPr>
      <w:r w:rsidRPr="00A30FB8">
        <w:rPr>
          <w:lang w:val="it-IT"/>
        </w:rPr>
        <w:t>b) T</w:t>
      </w:r>
      <w:r w:rsidRPr="00A30FB8">
        <w:t xml:space="preserve">ỷ trọng chi ĐTPT trong tổng chi cân đối NSĐP đã được bố trí tăng từ mức </w:t>
      </w:r>
      <w:r w:rsidRPr="00A30FB8">
        <w:rPr>
          <w:b/>
        </w:rPr>
        <w:t>26%</w:t>
      </w:r>
      <w:r w:rsidRPr="00A30FB8">
        <w:t xml:space="preserve"> năm 2017 lên mức </w:t>
      </w:r>
      <w:r w:rsidRPr="00A30FB8">
        <w:rPr>
          <w:b/>
        </w:rPr>
        <w:t>28%</w:t>
      </w:r>
      <w:r w:rsidRPr="00A30FB8">
        <w:t xml:space="preserve"> năm 2020 (nếu tính cả chi đầu tư từ CTMTQG, CTMT thì tỷ trọng chi ĐTPT trong tổng chi NSĐP tương ứng từ </w:t>
      </w:r>
      <w:r w:rsidRPr="00A30FB8">
        <w:rPr>
          <w:b/>
        </w:rPr>
        <w:t>31,2%</w:t>
      </w:r>
      <w:r w:rsidRPr="00A30FB8">
        <w:t xml:space="preserve"> lên </w:t>
      </w:r>
      <w:r w:rsidRPr="00A30FB8">
        <w:rPr>
          <w:b/>
        </w:rPr>
        <w:t>34,7%</w:t>
      </w:r>
      <w:r w:rsidRPr="00A30FB8">
        <w:t>)</w:t>
      </w:r>
      <w:r w:rsidRPr="00A30FB8">
        <w:rPr>
          <w:lang w:val="it-IT"/>
        </w:rPr>
        <w:t xml:space="preserve">. Tổng nguồn NSĐP bố trí cho chi ĐTPT trong 5 năm đạt trên </w:t>
      </w:r>
      <w:r w:rsidRPr="00A30FB8">
        <w:rPr>
          <w:b/>
          <w:lang w:val="it-IT"/>
        </w:rPr>
        <w:t>1,1</w:t>
      </w:r>
      <w:r w:rsidRPr="00A30FB8">
        <w:rPr>
          <w:lang w:val="it-IT"/>
        </w:rPr>
        <w:t xml:space="preserve"> triệu tỷ đồng, vượt kế hoạch 5 năm là </w:t>
      </w:r>
      <w:r w:rsidRPr="00A30FB8">
        <w:rPr>
          <w:b/>
          <w:lang w:val="it-IT"/>
        </w:rPr>
        <w:t>0,22</w:t>
      </w:r>
      <w:r w:rsidRPr="00A30FB8">
        <w:rPr>
          <w:lang w:val="it-IT"/>
        </w:rPr>
        <w:t xml:space="preserve"> triệu tỷ đồng. Bên cạnh đó, trong giai đoạn 2016 - 2020 các địa phương đã bố trí kế hoạch đầu tư công trung hạn 4,7</w:t>
      </w:r>
      <w:r w:rsidRPr="00A30FB8">
        <w:rPr>
          <w:bCs/>
          <w:iCs/>
          <w:lang w:val="pt-BR"/>
        </w:rPr>
        <w:t xml:space="preserve"> nghìn tỷ đồng </w:t>
      </w:r>
      <w:r w:rsidRPr="00A30FB8">
        <w:rPr>
          <w:lang w:val="it-IT"/>
        </w:rPr>
        <w:t xml:space="preserve">thanh toán nợ đọng xây dựng cơ bản và 19,6 nghìn tỷ đồng thu hồi các khoản vốn ứng trước. Đây là kết quả tích cực, nhất là trong bối cảnh </w:t>
      </w:r>
      <w:r w:rsidRPr="00A30FB8">
        <w:rPr>
          <w:lang w:val="nl-NL"/>
        </w:rPr>
        <w:t xml:space="preserve">quy mô chi NSNN so với GDP giảm. </w:t>
      </w:r>
    </w:p>
    <w:p w:rsidR="00A30FB8" w:rsidRPr="00A30FB8" w:rsidRDefault="00A30FB8" w:rsidP="007E13B0">
      <w:pPr>
        <w:pStyle w:val="norm"/>
      </w:pPr>
      <w:r w:rsidRPr="00A30FB8">
        <w:t>Nguồn vốn NSĐP (bao gồm các nguồn vốn trái phiếu Chính quyền địa phương, vốn vay lại từ nguồn Chính phủ vay ngoài nước, tiền sử dụng đất và xổ số kiến thiết) được sử dụng tập trung, ưu tiên thực hiện các chương trình mục tiêu quốc gia, dự án quan trọng, các dự án trọng điểm có ý nghĩa lớn đối với phát triển kinh tế</w:t>
      </w:r>
      <w:r w:rsidR="000F4CFA">
        <w:t xml:space="preserve"> </w:t>
      </w:r>
      <w:r w:rsidRPr="00A30FB8">
        <w:t>-</w:t>
      </w:r>
      <w:r w:rsidR="000F4CFA">
        <w:t xml:space="preserve"> </w:t>
      </w:r>
      <w:r w:rsidRPr="00A30FB8">
        <w:t>xã hội của địa phương. Kết hợp với các nguồn lực xã hội hóa khác đã thúc đẩy phát triển hạ tầng kinh tế - xã hội, duy trì an sinh xã hội đóng góp tích cực vào những thành tựu đáng ghi nhận của cả nước, như chỉ số cạnh tranh toàn cầu (GCI)</w:t>
      </w:r>
      <w:r w:rsidRPr="00A30FB8">
        <w:rPr>
          <w:b/>
          <w:vertAlign w:val="superscript"/>
        </w:rPr>
        <w:footnoteReference w:id="33"/>
      </w:r>
      <w:r w:rsidRPr="00A30FB8">
        <w:t xml:space="preserve"> của Việt Nam về chất lượng cơ sở hạ tầng chung tăng </w:t>
      </w:r>
      <w:r w:rsidRPr="00A30FB8">
        <w:rPr>
          <w:b/>
        </w:rPr>
        <w:t>22</w:t>
      </w:r>
      <w:r w:rsidRPr="00A30FB8">
        <w:t xml:space="preserve"> bậc (từ 99/140 năm 2015 lên 77/141 năm 2019). </w:t>
      </w:r>
    </w:p>
    <w:p w:rsidR="00A30FB8" w:rsidRPr="00A30FB8" w:rsidRDefault="00A30FB8" w:rsidP="007E13B0">
      <w:pPr>
        <w:pStyle w:val="norm"/>
      </w:pPr>
      <w:r w:rsidRPr="00A30FB8">
        <w:rPr>
          <w:lang w:val="it-IT"/>
        </w:rPr>
        <w:t>c) D</w:t>
      </w:r>
      <w:r w:rsidRPr="00A30FB8">
        <w:t xml:space="preserve">ự toán chi thường xuyên </w:t>
      </w:r>
      <w:r w:rsidRPr="00A30FB8">
        <w:rPr>
          <w:lang w:val="it-IT"/>
        </w:rPr>
        <w:t xml:space="preserve">đã </w:t>
      </w:r>
      <w:r w:rsidRPr="00A30FB8">
        <w:t xml:space="preserve">giảm dần tỷ trọng từ mức </w:t>
      </w:r>
      <w:r w:rsidRPr="00A30FB8">
        <w:rPr>
          <w:b/>
        </w:rPr>
        <w:t>72,7%</w:t>
      </w:r>
      <w:r w:rsidRPr="00A30FB8">
        <w:t xml:space="preserve"> tổng chi cân đối NSĐP năm 2017 xuống dưới </w:t>
      </w:r>
      <w:r w:rsidRPr="00A30FB8">
        <w:rPr>
          <w:b/>
        </w:rPr>
        <w:t>64,3%</w:t>
      </w:r>
      <w:r w:rsidRPr="00A30FB8">
        <w:t xml:space="preserve"> năm 2020</w:t>
      </w:r>
      <w:r w:rsidRPr="00A30FB8">
        <w:rPr>
          <w:b/>
          <w:vertAlign w:val="superscript"/>
        </w:rPr>
        <w:footnoteReference w:id="34"/>
      </w:r>
      <w:r w:rsidRPr="00A30FB8">
        <w:t xml:space="preserve"> (nếu tính cả chi thường xuyên từ CTMTQG, CTMT thì tỷ trọng chi thường xuyên trong tổng chi NSĐP tương ứng từ </w:t>
      </w:r>
      <w:r w:rsidRPr="00A30FB8">
        <w:rPr>
          <w:b/>
        </w:rPr>
        <w:t>67%</w:t>
      </w:r>
      <w:r w:rsidRPr="00A30FB8">
        <w:t xml:space="preserve"> xuống còn </w:t>
      </w:r>
      <w:r w:rsidRPr="00A30FB8">
        <w:rPr>
          <w:b/>
        </w:rPr>
        <w:t>58%</w:t>
      </w:r>
      <w:r w:rsidRPr="00A30FB8">
        <w:t xml:space="preserve">) theo đúng mục tiêu tại </w:t>
      </w:r>
      <w:r w:rsidRPr="00A30FB8">
        <w:rPr>
          <w:lang w:val="it-IT"/>
        </w:rPr>
        <w:t>Nghị quyết số 25/2016/QH14 của Quốc hội</w:t>
      </w:r>
      <w:r w:rsidRPr="00A30FB8">
        <w:t xml:space="preserve">; </w:t>
      </w:r>
      <w:r w:rsidRPr="00A30FB8">
        <w:rPr>
          <w:lang w:val="es-ES"/>
        </w:rPr>
        <w:t xml:space="preserve">bảo đảm đủ kinh phí để thực hiện các chế độ, chính sách chi cho cán bộ, công chức, các chính sách an sinh xã hội trong các lĩnh vực giáo dục, y tế, dân số, kế hoạch hóa gia đình; </w:t>
      </w:r>
      <w:r w:rsidRPr="00A30FB8">
        <w:t xml:space="preserve">hàng năm đều bố trí kinh phí để tăng </w:t>
      </w:r>
      <w:r w:rsidRPr="00A30FB8">
        <w:lastRenderedPageBreak/>
        <w:t xml:space="preserve">lương cơ sở, lương hưu và trợ cấp người có công khoảng </w:t>
      </w:r>
      <w:r w:rsidRPr="00A30FB8">
        <w:rPr>
          <w:b/>
        </w:rPr>
        <w:t>7%</w:t>
      </w:r>
      <w:r w:rsidRPr="00A30FB8">
        <w:rPr>
          <w:b/>
          <w:vertAlign w:val="superscript"/>
        </w:rPr>
        <w:footnoteReference w:id="35"/>
      </w:r>
      <w:r w:rsidRPr="00A30FB8">
        <w:t xml:space="preserve">; đảm bảo yêu cầu quốc phòng, an ninh trong tình hình mới; trong khi triệt để tiết kiệm </w:t>
      </w:r>
      <w:r w:rsidRPr="00A30FB8">
        <w:rPr>
          <w:lang w:val="es-ES"/>
        </w:rPr>
        <w:t>chi hoạt động bộ máy;</w:t>
      </w:r>
      <w:r w:rsidRPr="00A30FB8">
        <w:t xml:space="preserve"> cắt giảm hoặc lùi thời gian thực hiện các nhiệm vụ chi chưa thực sự cấp thiết, các khoản chi mua sắm trang thiết bị, xe ô tô; hạn chế tối đa tổ chức hội nghị, hội thảo quốc gia, lễ khởi công, khánh thành,... và quản lý chặt chẽ nguồn dự phòng ngân sách, ưu tiên tập trung cho các nhiệm vụ khắc phục hậu quả thiên tai, bão lũ, dịch bệnh, các nhiệm vụ cấp bách của quốc phòng, an ninh,...; yêu cầu sắp xếp tổ chức bộ máy, tinh giản biên chế, đổi mới khu vực sự nghiệp công lập gắn với việc cơ cấu lại ngân sách trong từng ngành, lĩnh vực theo tinh thần Nghị quyết số 18-NQ/TW và Nghị quyết số 19-NQ/TW của Hội nghị Trung ương 6 (khóa XII).</w:t>
      </w:r>
    </w:p>
    <w:p w:rsidR="00A30FB8" w:rsidRPr="00A30FB8" w:rsidRDefault="00A30FB8" w:rsidP="007E13B0">
      <w:pPr>
        <w:pStyle w:val="norm"/>
      </w:pPr>
      <w:r w:rsidRPr="00A30FB8">
        <w:t xml:space="preserve">Chi NSĐP kết hợp với các nguồn lực xã hội huy động được tập trung phát triển kết cấu hạ tầng kinh tế-xã hội, nhất là ở các vùng sâu, vùng xa, vùng kinh tế xã hội đặc biệt khó khăn, dân tộc thiểu số..., là nền tảng cho phát triển kinh tế và giải quyết đói nghèo, thực hiện các mục tiêu tiến bộ, công bằng, </w:t>
      </w:r>
      <w:r w:rsidRPr="00A30FB8">
        <w:rPr>
          <w:lang w:val="it-IT"/>
        </w:rPr>
        <w:t xml:space="preserve">góp phần tích cực giảm tỷ lệ hộ nghèo từ </w:t>
      </w:r>
      <w:r w:rsidRPr="00A30FB8">
        <w:rPr>
          <w:b/>
          <w:lang w:val="it-IT"/>
        </w:rPr>
        <w:t>9,2%</w:t>
      </w:r>
      <w:r w:rsidRPr="00A30FB8">
        <w:rPr>
          <w:lang w:val="it-IT"/>
        </w:rPr>
        <w:t xml:space="preserve"> năm 2016 xuống còn dưới </w:t>
      </w:r>
      <w:r w:rsidRPr="00A30FB8">
        <w:rPr>
          <w:b/>
          <w:lang w:val="it-IT"/>
        </w:rPr>
        <w:t>3%</w:t>
      </w:r>
      <w:r w:rsidRPr="00A30FB8">
        <w:rPr>
          <w:lang w:val="it-IT"/>
        </w:rPr>
        <w:t xml:space="preserve"> năm 2020 (theo chuẩn nghèo đa chiều), tỷ lệ người dân tham gia bảo hiểm y tế </w:t>
      </w:r>
      <w:r w:rsidRPr="00A30FB8">
        <w:rPr>
          <w:lang w:val="nl-NL"/>
        </w:rPr>
        <w:t xml:space="preserve">đến năm 2020 </w:t>
      </w:r>
      <w:r w:rsidRPr="00A30FB8">
        <w:rPr>
          <w:lang w:val="vi-VN"/>
        </w:rPr>
        <w:t xml:space="preserve">đạt khoảng </w:t>
      </w:r>
      <w:r w:rsidRPr="00A30FB8">
        <w:rPr>
          <w:b/>
          <w:lang w:val="vi-VN"/>
        </w:rPr>
        <w:t>90</w:t>
      </w:r>
      <w:r w:rsidRPr="00A30FB8">
        <w:rPr>
          <w:b/>
          <w:lang w:val="nl-NL"/>
        </w:rPr>
        <w:t>,7</w:t>
      </w:r>
      <w:r w:rsidRPr="00A30FB8">
        <w:rPr>
          <w:b/>
          <w:lang w:val="vi-VN"/>
        </w:rPr>
        <w:t>%</w:t>
      </w:r>
      <w:r w:rsidRPr="00A30FB8">
        <w:rPr>
          <w:lang w:val="vi-VN"/>
        </w:rPr>
        <w:t xml:space="preserve"> dân số</w:t>
      </w:r>
      <w:r w:rsidRPr="00A30FB8">
        <w:rPr>
          <w:b/>
          <w:vertAlign w:val="superscript"/>
          <w:lang w:val="vi-VN"/>
        </w:rPr>
        <w:footnoteReference w:id="36"/>
      </w:r>
      <w:r w:rsidRPr="00A30FB8">
        <w:t>; hạ tầng nông thôn, tỷ lệ tiếp cận các dịch vụ sự nghiệp công có nhiều cải thiện</w:t>
      </w:r>
      <w:r w:rsidRPr="00A30FB8">
        <w:rPr>
          <w:b/>
          <w:vertAlign w:val="superscript"/>
        </w:rPr>
        <w:footnoteReference w:id="37"/>
      </w:r>
      <w:r w:rsidRPr="00A30FB8">
        <w:t xml:space="preserve">. </w:t>
      </w:r>
    </w:p>
    <w:p w:rsidR="00A30FB8" w:rsidRPr="00A30FB8" w:rsidRDefault="00A30FB8" w:rsidP="007E13B0">
      <w:pPr>
        <w:pStyle w:val="norm"/>
        <w:rPr>
          <w:lang w:val="es-ES"/>
        </w:rPr>
      </w:pPr>
      <w:r w:rsidRPr="00A30FB8">
        <w:t xml:space="preserve">d) Về Quỹ dự trữ tài chính và dự phòng ngân sách: Các địa phương đã bố trí dự toán chi bổ sung Quỹ dự trữ tài chính khoảng </w:t>
      </w:r>
      <w:r w:rsidRPr="00A30FB8">
        <w:rPr>
          <w:b/>
        </w:rPr>
        <w:t>0,5</w:t>
      </w:r>
      <w:r w:rsidRPr="00A30FB8">
        <w:t xml:space="preserve"> nghìn tỷ đồng, dự phòng NSĐP </w:t>
      </w:r>
      <w:r w:rsidRPr="00A30FB8">
        <w:rPr>
          <w:b/>
        </w:rPr>
        <w:t>81</w:t>
      </w:r>
      <w:r w:rsidRPr="00A30FB8">
        <w:t xml:space="preserve"> nghìn tỷ đồng chiếm 2,2% tổng chi NSĐP, để chủ động đáp ứng yêu cầu cấp bách về phòng, chống, khắc phục hậu quả thiên tai, hỏa hoạn, dịch bệnh; đảm bảo an sinh xã hội và thực hiện các nhiệm vụ quan trọng cấp thiết khác. </w:t>
      </w:r>
      <w:r w:rsidRPr="00A30FB8">
        <w:rPr>
          <w:lang w:val="es-ES"/>
        </w:rPr>
        <w:t xml:space="preserve">Hàng năm, NSTW đã hỗ trợ hàng chục vạn tấn gạo cho các địa phương để kịp thời hỗ trợ cho người nghèo và người bị ảnh hưởng bởi thiên tai, bão lụt, dịch bệnh. </w:t>
      </w:r>
    </w:p>
    <w:p w:rsidR="007C229A" w:rsidRPr="00510A0D" w:rsidRDefault="0008064B" w:rsidP="007E13B0">
      <w:pPr>
        <w:pStyle w:val="norm"/>
      </w:pPr>
      <w:r w:rsidRPr="00510A0D">
        <w:t xml:space="preserve">e) Về chi trả nợ: </w:t>
      </w:r>
      <w:r w:rsidR="00D6352A" w:rsidRPr="00510A0D">
        <w:t xml:space="preserve">Chính quyền địa </w:t>
      </w:r>
      <w:r w:rsidR="00D6352A" w:rsidRPr="000074EE">
        <w:t>phương</w:t>
      </w:r>
      <w:r w:rsidR="00D6352A" w:rsidRPr="00510A0D">
        <w:t xml:space="preserve"> đ</w:t>
      </w:r>
      <w:r w:rsidRPr="00510A0D">
        <w:t>ảm bảo thực hiện nghĩa vụ trả nợ gốc, lãi đầy đủ, đúng hạn theo cam kết. </w:t>
      </w:r>
    </w:p>
    <w:p w:rsidR="002912CB" w:rsidRPr="00510A0D" w:rsidRDefault="003C1089" w:rsidP="007E13B0">
      <w:pPr>
        <w:pStyle w:val="norm"/>
      </w:pPr>
      <w:r w:rsidRPr="00510A0D">
        <w:rPr>
          <w:rFonts w:eastAsia="Calibri"/>
          <w:i/>
        </w:rPr>
        <w:t>Như vậy</w:t>
      </w:r>
      <w:r w:rsidR="0008064B" w:rsidRPr="00510A0D">
        <w:rPr>
          <w:rFonts w:eastAsia="Calibri"/>
          <w:i/>
        </w:rPr>
        <w:t>,</w:t>
      </w:r>
      <w:r w:rsidR="0008064B" w:rsidRPr="00510A0D">
        <w:t xml:space="preserve"> Thu NSNN trên địa bàn giai đoạn </w:t>
      </w:r>
      <w:r w:rsidR="0026450F" w:rsidRPr="00510A0D">
        <w:t>2016 - 2020</w:t>
      </w:r>
      <w:r w:rsidR="0008064B" w:rsidRPr="00510A0D">
        <w:t xml:space="preserve"> vượt dự toán Thủ tướng Chính phủ giao; Chi NSĐP đã được điều hành chủ động, linh hoạt với chủ trương chặt chẽ, tiết kiệm, đảm bảo đúng định mức, chế độ từ khâu phân bổ dự toán cho đến quá trình thực hiện</w:t>
      </w:r>
      <w:r w:rsidR="00905398" w:rsidRPr="00510A0D">
        <w:t xml:space="preserve">, quyết toán ngân sách </w:t>
      </w:r>
      <w:r w:rsidR="0008064B" w:rsidRPr="00510A0D">
        <w:t xml:space="preserve">công khai, minh bạch. Cơ cấu chi ngân sách chuyển dịch tích cực, giảm chi thường xuyên để tăng chi đầu tư phát triển. Các nhiệm vụ chi ngân sách cũng đảm bảo cân đối đủ nguồn để thực hiện theo dự toán giao, đáp ứng nhiệm vụ của đơn vị sử dụng ngân sách và yêu cầu phát triển kinh tế - xã hội của địa phương, bổ sung nguồn lực xử lý kịp thời các nhiệm vụ quan trọng, cấp bách phát sinh trong các lĩnh vực kinh tế - xã hội, </w:t>
      </w:r>
      <w:r w:rsidR="0008064B" w:rsidRPr="00510A0D">
        <w:lastRenderedPageBreak/>
        <w:t>quốc phòng, an ninh, đảm bảo an sinh xã hội,... Dự phòng ngân sách các cấp được sử dụng đúng mục đích, đúng quy định.</w:t>
      </w:r>
      <w:bookmarkStart w:id="65" w:name="_Toc53064597"/>
      <w:bookmarkStart w:id="66" w:name="_Toc62654348"/>
      <w:bookmarkStart w:id="67" w:name="_Toc62657714"/>
    </w:p>
    <w:p w:rsidR="002912CB" w:rsidRPr="00510A0D" w:rsidRDefault="0008064B" w:rsidP="007E13B0">
      <w:pPr>
        <w:pStyle w:val="Heading2"/>
      </w:pPr>
      <w:bookmarkStart w:id="68" w:name="_Toc87619920"/>
      <w:r w:rsidRPr="00510A0D">
        <w:t xml:space="preserve">2. Công tác quản lý vay, nợ của </w:t>
      </w:r>
      <w:bookmarkEnd w:id="65"/>
      <w:r w:rsidRPr="00510A0D">
        <w:t>NSĐP</w:t>
      </w:r>
      <w:bookmarkEnd w:id="66"/>
      <w:bookmarkEnd w:id="67"/>
      <w:bookmarkEnd w:id="68"/>
    </w:p>
    <w:p w:rsidR="00DD7212" w:rsidRPr="00510A0D" w:rsidRDefault="00DD7212" w:rsidP="007E13B0">
      <w:pPr>
        <w:pStyle w:val="Heading3"/>
      </w:pPr>
      <w:bookmarkStart w:id="69" w:name="_Toc56607580"/>
      <w:r w:rsidRPr="00510A0D">
        <w:t>2.1. Về huy động vốn vay của chính quyền địa phương</w:t>
      </w:r>
      <w:bookmarkEnd w:id="69"/>
    </w:p>
    <w:p w:rsidR="00DD7212" w:rsidRDefault="00DD7212" w:rsidP="007E13B0">
      <w:r w:rsidRPr="00510A0D">
        <w:rPr>
          <w:lang w:val="vi-VN"/>
        </w:rPr>
        <w:t xml:space="preserve">Tổng huy động vốn vay của địa phương giai đoạn </w:t>
      </w:r>
      <w:r w:rsidR="0026450F" w:rsidRPr="00510A0D">
        <w:rPr>
          <w:lang w:val="vi-VN"/>
        </w:rPr>
        <w:t>2016 - 2020</w:t>
      </w:r>
      <w:r w:rsidRPr="00510A0D">
        <w:rPr>
          <w:lang w:val="vi-VN"/>
        </w:rPr>
        <w:t xml:space="preserve"> khoảng </w:t>
      </w:r>
      <w:r w:rsidRPr="00510A0D">
        <w:rPr>
          <w:b/>
          <w:lang w:val="vi-VN"/>
        </w:rPr>
        <w:t>5</w:t>
      </w:r>
      <w:r w:rsidR="00A575CB" w:rsidRPr="00510A0D">
        <w:rPr>
          <w:b/>
        </w:rPr>
        <w:t>0</w:t>
      </w:r>
      <w:r w:rsidRPr="00510A0D">
        <w:rPr>
          <w:b/>
          <w:lang w:val="vi-VN"/>
        </w:rPr>
        <w:t>,</w:t>
      </w:r>
      <w:r w:rsidR="00A575CB" w:rsidRPr="00510A0D">
        <w:rPr>
          <w:b/>
        </w:rPr>
        <w:t>7</w:t>
      </w:r>
      <w:r w:rsidRPr="00510A0D">
        <w:rPr>
          <w:lang w:val="vi-VN"/>
        </w:rPr>
        <w:t xml:space="preserve"> nghìn tỷ đồng, trong đó chủ yếu là vay lại nguồn vay nước ngoài. </w:t>
      </w:r>
    </w:p>
    <w:p w:rsidR="004D25CF" w:rsidRPr="000331A6" w:rsidRDefault="004D25CF" w:rsidP="004D25CF">
      <w:pPr>
        <w:spacing w:after="0"/>
        <w:jc w:val="right"/>
        <w:rPr>
          <w:lang w:val="pt-BR"/>
        </w:rPr>
      </w:pPr>
      <w:r w:rsidRPr="00F2282D">
        <w:rPr>
          <w:i/>
          <w:sz w:val="24"/>
          <w:lang w:val="pt-BR"/>
        </w:rPr>
        <w:t>Đơn vị: tỷ đồng</w:t>
      </w:r>
    </w:p>
    <w:tbl>
      <w:tblPr>
        <w:tblW w:w="5000" w:type="pct"/>
        <w:tblLook w:val="04A0"/>
      </w:tblPr>
      <w:tblGrid>
        <w:gridCol w:w="4173"/>
        <w:gridCol w:w="878"/>
        <w:gridCol w:w="879"/>
        <w:gridCol w:w="879"/>
        <w:gridCol w:w="879"/>
        <w:gridCol w:w="951"/>
        <w:gridCol w:w="875"/>
      </w:tblGrid>
      <w:tr w:rsidR="004D25CF" w:rsidRPr="00F04AEB" w:rsidTr="00ED7ED0">
        <w:trPr>
          <w:trHeight w:val="570"/>
        </w:trPr>
        <w:tc>
          <w:tcPr>
            <w:tcW w:w="2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center"/>
              <w:rPr>
                <w:rFonts w:eastAsia="Times New Roman"/>
                <w:b/>
                <w:bCs/>
                <w:color w:val="000000"/>
                <w:sz w:val="22"/>
                <w:szCs w:val="22"/>
                <w:lang w:val="vi-VN" w:eastAsia="vi-VN"/>
              </w:rPr>
            </w:pPr>
            <w:r w:rsidRPr="00F04AEB">
              <w:rPr>
                <w:rFonts w:eastAsia="Times New Roman"/>
                <w:b/>
                <w:bCs/>
                <w:color w:val="000000"/>
                <w:sz w:val="22"/>
                <w:szCs w:val="22"/>
                <w:lang w:val="en-GB" w:eastAsia="en-GB"/>
              </w:rPr>
              <w:t>Chỉ tiêu</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center"/>
              <w:rPr>
                <w:rFonts w:eastAsia="Times New Roman"/>
                <w:b/>
                <w:bCs/>
                <w:color w:val="000000"/>
                <w:sz w:val="22"/>
                <w:szCs w:val="22"/>
                <w:lang w:val="vi-VN" w:eastAsia="vi-VN"/>
              </w:rPr>
            </w:pPr>
            <w:r w:rsidRPr="00F04AEB">
              <w:rPr>
                <w:rFonts w:eastAsia="Times New Roman"/>
                <w:b/>
                <w:bCs/>
                <w:color w:val="000000"/>
                <w:sz w:val="22"/>
                <w:szCs w:val="22"/>
                <w:lang w:val="en-GB" w:eastAsia="en-GB"/>
              </w:rPr>
              <w:t>2016</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center"/>
              <w:rPr>
                <w:rFonts w:eastAsia="Times New Roman"/>
                <w:b/>
                <w:bCs/>
                <w:color w:val="000000"/>
                <w:sz w:val="22"/>
                <w:szCs w:val="22"/>
                <w:lang w:val="vi-VN" w:eastAsia="vi-VN"/>
              </w:rPr>
            </w:pPr>
            <w:r w:rsidRPr="00F04AEB">
              <w:rPr>
                <w:rFonts w:eastAsia="Times New Roman"/>
                <w:b/>
                <w:bCs/>
                <w:color w:val="000000"/>
                <w:sz w:val="22"/>
                <w:szCs w:val="22"/>
                <w:lang w:val="en-GB" w:eastAsia="en-GB"/>
              </w:rPr>
              <w:t>2017</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center"/>
              <w:rPr>
                <w:rFonts w:eastAsia="Times New Roman"/>
                <w:b/>
                <w:bCs/>
                <w:color w:val="000000"/>
                <w:sz w:val="22"/>
                <w:szCs w:val="22"/>
                <w:lang w:val="vi-VN" w:eastAsia="vi-VN"/>
              </w:rPr>
            </w:pPr>
            <w:r w:rsidRPr="00F04AEB">
              <w:rPr>
                <w:rFonts w:eastAsia="Times New Roman"/>
                <w:b/>
                <w:bCs/>
                <w:color w:val="000000"/>
                <w:sz w:val="22"/>
                <w:szCs w:val="22"/>
                <w:lang w:val="en-GB" w:eastAsia="en-GB"/>
              </w:rPr>
              <w:t>2018</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center"/>
              <w:rPr>
                <w:rFonts w:eastAsia="Times New Roman"/>
                <w:b/>
                <w:bCs/>
                <w:color w:val="000000"/>
                <w:sz w:val="22"/>
                <w:szCs w:val="22"/>
                <w:lang w:val="vi-VN" w:eastAsia="vi-VN"/>
              </w:rPr>
            </w:pPr>
            <w:r w:rsidRPr="00F04AEB">
              <w:rPr>
                <w:rFonts w:eastAsia="Times New Roman"/>
                <w:b/>
                <w:bCs/>
                <w:color w:val="000000"/>
                <w:sz w:val="22"/>
                <w:szCs w:val="22"/>
                <w:lang w:val="en-GB" w:eastAsia="en-GB"/>
              </w:rPr>
              <w:t>2019</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center"/>
              <w:rPr>
                <w:rFonts w:eastAsia="Times New Roman"/>
                <w:b/>
                <w:bCs/>
                <w:color w:val="000000"/>
                <w:sz w:val="22"/>
                <w:szCs w:val="22"/>
                <w:lang w:val="vi-VN" w:eastAsia="vi-VN"/>
              </w:rPr>
            </w:pPr>
            <w:r w:rsidRPr="00F04AEB">
              <w:rPr>
                <w:rFonts w:eastAsia="Times New Roman"/>
                <w:b/>
                <w:bCs/>
                <w:color w:val="000000"/>
                <w:sz w:val="22"/>
                <w:szCs w:val="22"/>
                <w:lang w:val="en-GB" w:eastAsia="en-GB"/>
              </w:rPr>
              <w:t>ƯTH 2020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center"/>
              <w:rPr>
                <w:rFonts w:eastAsia="Times New Roman"/>
                <w:b/>
                <w:bCs/>
                <w:color w:val="000000"/>
                <w:sz w:val="22"/>
                <w:szCs w:val="22"/>
                <w:lang w:val="vi-VN" w:eastAsia="vi-VN"/>
              </w:rPr>
            </w:pPr>
            <w:r w:rsidRPr="00F04AEB">
              <w:rPr>
                <w:rFonts w:eastAsia="Times New Roman"/>
                <w:b/>
                <w:bCs/>
                <w:color w:val="000000"/>
                <w:sz w:val="22"/>
                <w:szCs w:val="22"/>
                <w:lang w:val="en-GB" w:eastAsia="en-GB"/>
              </w:rPr>
              <w:t>2016 - 2020</w:t>
            </w:r>
          </w:p>
        </w:tc>
      </w:tr>
      <w:tr w:rsidR="004D25CF" w:rsidRPr="00F04AEB" w:rsidTr="00ED7ED0">
        <w:trPr>
          <w:trHeight w:val="285"/>
        </w:trPr>
        <w:tc>
          <w:tcPr>
            <w:tcW w:w="2118" w:type="pct"/>
            <w:tcBorders>
              <w:top w:val="nil"/>
              <w:left w:val="single" w:sz="4" w:space="0" w:color="auto"/>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left"/>
              <w:rPr>
                <w:rFonts w:eastAsia="Times New Roman"/>
                <w:b/>
                <w:bCs/>
                <w:color w:val="000000"/>
                <w:sz w:val="22"/>
                <w:szCs w:val="22"/>
                <w:lang w:val="vi-VN" w:eastAsia="vi-VN"/>
              </w:rPr>
            </w:pPr>
            <w:r w:rsidRPr="00F04AEB">
              <w:rPr>
                <w:rFonts w:eastAsia="Times New Roman"/>
                <w:b/>
                <w:bCs/>
                <w:color w:val="000000"/>
                <w:sz w:val="22"/>
                <w:szCs w:val="24"/>
                <w:lang w:val="en-GB" w:eastAsia="en-GB"/>
              </w:rPr>
              <w:t>1. Tổng số vay</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b/>
                <w:bCs/>
                <w:color w:val="000000"/>
                <w:sz w:val="22"/>
                <w:szCs w:val="22"/>
                <w:lang w:val="vi-VN" w:eastAsia="vi-VN"/>
              </w:rPr>
            </w:pPr>
            <w:r w:rsidRPr="00F04AEB">
              <w:rPr>
                <w:rFonts w:eastAsia="Times New Roman"/>
                <w:b/>
                <w:bCs/>
                <w:color w:val="000000"/>
                <w:sz w:val="22"/>
                <w:szCs w:val="24"/>
                <w:lang w:val="en-GB" w:eastAsia="en-GB"/>
              </w:rPr>
              <w:t>13.652</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b/>
                <w:bCs/>
                <w:color w:val="000000"/>
                <w:sz w:val="22"/>
                <w:szCs w:val="22"/>
                <w:lang w:val="vi-VN" w:eastAsia="vi-VN"/>
              </w:rPr>
            </w:pPr>
            <w:r w:rsidRPr="00F04AEB">
              <w:rPr>
                <w:rFonts w:eastAsia="Times New Roman"/>
                <w:b/>
                <w:bCs/>
                <w:color w:val="000000"/>
                <w:sz w:val="22"/>
                <w:szCs w:val="24"/>
                <w:lang w:val="en-GB" w:eastAsia="en-GB"/>
              </w:rPr>
              <w:t>8.950</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b/>
                <w:bCs/>
                <w:color w:val="000000"/>
                <w:sz w:val="22"/>
                <w:szCs w:val="22"/>
                <w:lang w:val="vi-VN" w:eastAsia="vi-VN"/>
              </w:rPr>
            </w:pPr>
            <w:r w:rsidRPr="00F04AEB">
              <w:rPr>
                <w:rFonts w:eastAsia="Times New Roman"/>
                <w:b/>
                <w:bCs/>
                <w:color w:val="000000"/>
                <w:sz w:val="22"/>
                <w:szCs w:val="24"/>
                <w:lang w:val="en-GB" w:eastAsia="en-GB"/>
              </w:rPr>
              <w:t>5.857</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b/>
                <w:bCs/>
                <w:color w:val="000000"/>
                <w:sz w:val="22"/>
                <w:szCs w:val="22"/>
                <w:lang w:val="vi-VN" w:eastAsia="vi-VN"/>
              </w:rPr>
            </w:pPr>
            <w:r w:rsidRPr="00F04AEB">
              <w:rPr>
                <w:rFonts w:eastAsia="Times New Roman"/>
                <w:b/>
                <w:bCs/>
                <w:color w:val="000000"/>
                <w:sz w:val="22"/>
                <w:szCs w:val="24"/>
                <w:lang w:val="en-GB" w:eastAsia="en-GB"/>
              </w:rPr>
              <w:t>7.590</w:t>
            </w:r>
          </w:p>
        </w:tc>
        <w:tc>
          <w:tcPr>
            <w:tcW w:w="494"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left"/>
              <w:rPr>
                <w:rFonts w:eastAsia="Times New Roman"/>
                <w:b/>
                <w:bCs/>
                <w:color w:val="000000"/>
                <w:sz w:val="22"/>
                <w:szCs w:val="22"/>
                <w:lang w:val="vi-VN" w:eastAsia="vi-VN"/>
              </w:rPr>
            </w:pPr>
            <w:r w:rsidRPr="00F04AEB">
              <w:rPr>
                <w:rFonts w:eastAsia="Times New Roman"/>
                <w:b/>
                <w:bCs/>
                <w:color w:val="000000"/>
                <w:sz w:val="22"/>
                <w:szCs w:val="24"/>
                <w:lang w:val="en-GB" w:eastAsia="en-GB"/>
              </w:rPr>
              <w:t>14.615</w:t>
            </w:r>
            <w:r w:rsidRPr="00871C73">
              <w:rPr>
                <w:b/>
                <w:sz w:val="20"/>
                <w:szCs w:val="24"/>
                <w:vertAlign w:val="superscript"/>
                <w:lang w:val="en-GB" w:eastAsia="en-GB"/>
              </w:rPr>
              <w:footnoteReference w:id="38"/>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b/>
                <w:bCs/>
                <w:color w:val="000000"/>
                <w:sz w:val="22"/>
                <w:szCs w:val="22"/>
                <w:lang w:val="vi-VN" w:eastAsia="vi-VN"/>
              </w:rPr>
            </w:pPr>
            <w:r w:rsidRPr="00F04AEB">
              <w:rPr>
                <w:rFonts w:eastAsia="Times New Roman"/>
                <w:b/>
                <w:bCs/>
                <w:color w:val="000000"/>
                <w:sz w:val="22"/>
                <w:szCs w:val="24"/>
                <w:lang w:val="en-GB" w:eastAsia="en-GB"/>
              </w:rPr>
              <w:t>50.664</w:t>
            </w:r>
          </w:p>
        </w:tc>
      </w:tr>
      <w:tr w:rsidR="004D25CF" w:rsidRPr="00F04AEB" w:rsidTr="00ED7ED0">
        <w:trPr>
          <w:trHeight w:val="300"/>
        </w:trPr>
        <w:tc>
          <w:tcPr>
            <w:tcW w:w="2118" w:type="pct"/>
            <w:tcBorders>
              <w:top w:val="nil"/>
              <w:left w:val="single" w:sz="4" w:space="0" w:color="auto"/>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left"/>
              <w:rPr>
                <w:rFonts w:eastAsia="Times New Roman"/>
                <w:color w:val="000000"/>
                <w:sz w:val="22"/>
                <w:szCs w:val="22"/>
                <w:lang w:val="vi-VN" w:eastAsia="vi-VN"/>
              </w:rPr>
            </w:pPr>
            <w:r w:rsidRPr="00F04AEB">
              <w:rPr>
                <w:rFonts w:eastAsia="Times New Roman"/>
                <w:color w:val="000000"/>
                <w:sz w:val="22"/>
                <w:szCs w:val="24"/>
                <w:lang w:val="en-GB" w:eastAsia="en-GB"/>
              </w:rPr>
              <w:t>Vay lại vốn vay nước ngoài</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color w:val="000000"/>
                <w:sz w:val="22"/>
                <w:szCs w:val="22"/>
                <w:lang w:val="vi-VN" w:eastAsia="vi-VN"/>
              </w:rPr>
            </w:pPr>
            <w:r w:rsidRPr="00F04AEB">
              <w:rPr>
                <w:rFonts w:eastAsia="Times New Roman"/>
                <w:color w:val="000000"/>
                <w:sz w:val="22"/>
                <w:szCs w:val="24"/>
                <w:lang w:val="en-GB" w:eastAsia="en-GB"/>
              </w:rPr>
              <w:t>820</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color w:val="000000"/>
                <w:sz w:val="22"/>
                <w:szCs w:val="22"/>
                <w:lang w:val="vi-VN" w:eastAsia="vi-VN"/>
              </w:rPr>
            </w:pPr>
            <w:r w:rsidRPr="00F04AEB">
              <w:rPr>
                <w:rFonts w:eastAsia="Times New Roman"/>
                <w:color w:val="000000"/>
                <w:sz w:val="22"/>
                <w:szCs w:val="24"/>
                <w:lang w:val="en-GB" w:eastAsia="en-GB"/>
              </w:rPr>
              <w:t>4.618</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color w:val="000000"/>
                <w:sz w:val="22"/>
                <w:szCs w:val="22"/>
                <w:lang w:val="vi-VN" w:eastAsia="vi-VN"/>
              </w:rPr>
            </w:pPr>
            <w:r w:rsidRPr="00F04AEB">
              <w:rPr>
                <w:rFonts w:eastAsia="Times New Roman"/>
                <w:color w:val="000000"/>
                <w:sz w:val="22"/>
                <w:szCs w:val="24"/>
                <w:lang w:val="en-GB" w:eastAsia="en-GB"/>
              </w:rPr>
              <w:t>3.076</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color w:val="000000"/>
                <w:sz w:val="22"/>
                <w:szCs w:val="22"/>
                <w:lang w:val="vi-VN" w:eastAsia="vi-VN"/>
              </w:rPr>
            </w:pPr>
            <w:r w:rsidRPr="00F04AEB">
              <w:rPr>
                <w:rFonts w:eastAsia="Times New Roman"/>
                <w:color w:val="000000"/>
                <w:sz w:val="22"/>
                <w:szCs w:val="24"/>
                <w:lang w:val="en-GB" w:eastAsia="en-GB"/>
              </w:rPr>
              <w:t>5.087</w:t>
            </w:r>
          </w:p>
        </w:tc>
        <w:tc>
          <w:tcPr>
            <w:tcW w:w="494"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color w:val="000000"/>
                <w:sz w:val="22"/>
                <w:szCs w:val="22"/>
                <w:lang w:val="vi-VN" w:eastAsia="vi-VN"/>
              </w:rPr>
            </w:pPr>
            <w:r w:rsidRPr="00F04AEB">
              <w:rPr>
                <w:rFonts w:eastAsia="Times New Roman"/>
                <w:color w:val="000000"/>
                <w:sz w:val="22"/>
                <w:szCs w:val="24"/>
                <w:lang w:val="en-GB" w:eastAsia="en-GB"/>
              </w:rPr>
              <w:t>12.532</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color w:val="000000"/>
                <w:sz w:val="22"/>
                <w:szCs w:val="22"/>
                <w:lang w:val="vi-VN" w:eastAsia="vi-VN"/>
              </w:rPr>
            </w:pPr>
            <w:r w:rsidRPr="00F04AEB">
              <w:rPr>
                <w:rFonts w:eastAsia="Times New Roman"/>
                <w:color w:val="000000"/>
                <w:sz w:val="22"/>
                <w:szCs w:val="24"/>
                <w:lang w:val="en-GB" w:eastAsia="en-GB"/>
              </w:rPr>
              <w:t>26.133</w:t>
            </w:r>
          </w:p>
        </w:tc>
      </w:tr>
      <w:tr w:rsidR="004D25CF" w:rsidRPr="00F04AEB" w:rsidTr="00ED7ED0">
        <w:trPr>
          <w:trHeight w:val="300"/>
        </w:trPr>
        <w:tc>
          <w:tcPr>
            <w:tcW w:w="2118" w:type="pct"/>
            <w:tcBorders>
              <w:top w:val="nil"/>
              <w:left w:val="single" w:sz="4" w:space="0" w:color="auto"/>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left"/>
              <w:rPr>
                <w:rFonts w:eastAsia="Times New Roman"/>
                <w:color w:val="000000"/>
                <w:sz w:val="22"/>
                <w:szCs w:val="22"/>
                <w:lang w:val="vi-VN" w:eastAsia="vi-VN"/>
              </w:rPr>
            </w:pPr>
            <w:r w:rsidRPr="00F04AEB">
              <w:rPr>
                <w:rFonts w:eastAsia="Times New Roman"/>
                <w:color w:val="000000"/>
                <w:sz w:val="22"/>
                <w:szCs w:val="24"/>
                <w:lang w:val="en-GB" w:eastAsia="en-GB"/>
              </w:rPr>
              <w:t xml:space="preserve">Vay (tạm ứng) ngân quỹ nhà nước </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color w:val="000000"/>
                <w:sz w:val="22"/>
                <w:szCs w:val="22"/>
                <w:lang w:val="vi-VN" w:eastAsia="vi-VN"/>
              </w:rPr>
            </w:pPr>
            <w:r w:rsidRPr="00F04AEB">
              <w:rPr>
                <w:rFonts w:eastAsia="Times New Roman"/>
                <w:color w:val="000000"/>
                <w:sz w:val="22"/>
                <w:szCs w:val="24"/>
                <w:lang w:val="en-GB" w:eastAsia="en-GB"/>
              </w:rPr>
              <w:t>6.242</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color w:val="000000"/>
                <w:sz w:val="22"/>
                <w:szCs w:val="22"/>
                <w:lang w:val="vi-VN" w:eastAsia="vi-VN"/>
              </w:rPr>
            </w:pPr>
            <w:r w:rsidRPr="00F04AEB">
              <w:rPr>
                <w:rFonts w:eastAsia="Times New Roman"/>
                <w:color w:val="000000"/>
                <w:sz w:val="22"/>
                <w:szCs w:val="24"/>
                <w:lang w:val="en-GB" w:eastAsia="en-GB"/>
              </w:rPr>
              <w:t>1.384</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color w:val="000000"/>
                <w:sz w:val="22"/>
                <w:szCs w:val="22"/>
                <w:lang w:val="vi-VN" w:eastAsia="vi-VN"/>
              </w:rPr>
            </w:pPr>
            <w:r w:rsidRPr="00F04AEB">
              <w:rPr>
                <w:rFonts w:eastAsia="Times New Roman"/>
                <w:color w:val="000000"/>
                <w:sz w:val="22"/>
                <w:szCs w:val="24"/>
                <w:lang w:val="en-GB" w:eastAsia="en-GB"/>
              </w:rPr>
              <w:t>1.736</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color w:val="000000"/>
                <w:sz w:val="22"/>
                <w:szCs w:val="22"/>
                <w:lang w:val="vi-VN" w:eastAsia="vi-VN"/>
              </w:rPr>
            </w:pPr>
            <w:r w:rsidRPr="00F04AEB">
              <w:rPr>
                <w:rFonts w:eastAsia="Times New Roman"/>
                <w:color w:val="000000"/>
                <w:sz w:val="22"/>
                <w:szCs w:val="24"/>
                <w:lang w:val="en-GB" w:eastAsia="en-GB"/>
              </w:rPr>
              <w:t>1.450</w:t>
            </w:r>
          </w:p>
        </w:tc>
        <w:tc>
          <w:tcPr>
            <w:tcW w:w="494"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left"/>
              <w:rPr>
                <w:rFonts w:eastAsia="Times New Roman"/>
                <w:color w:val="000000"/>
                <w:sz w:val="22"/>
                <w:szCs w:val="22"/>
                <w:lang w:val="vi-VN" w:eastAsia="vi-VN"/>
              </w:rPr>
            </w:pPr>
            <w:r w:rsidRPr="00F04AEB">
              <w:rPr>
                <w:rFonts w:eastAsia="Times New Roman"/>
                <w:color w:val="000000"/>
                <w:sz w:val="22"/>
                <w:szCs w:val="24"/>
                <w:lang w:val="en-GB" w:eastAsia="en-GB"/>
              </w:rPr>
              <w:t>-</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color w:val="000000"/>
                <w:sz w:val="22"/>
                <w:szCs w:val="22"/>
                <w:lang w:val="vi-VN" w:eastAsia="vi-VN"/>
              </w:rPr>
            </w:pPr>
            <w:r w:rsidRPr="00F04AEB">
              <w:rPr>
                <w:rFonts w:eastAsia="Times New Roman"/>
                <w:color w:val="000000"/>
                <w:sz w:val="22"/>
                <w:szCs w:val="24"/>
                <w:lang w:val="en-GB" w:eastAsia="en-GB"/>
              </w:rPr>
              <w:t>10.812</w:t>
            </w:r>
          </w:p>
        </w:tc>
      </w:tr>
      <w:tr w:rsidR="004D25CF" w:rsidRPr="00F04AEB" w:rsidTr="00ED7ED0">
        <w:trPr>
          <w:trHeight w:val="300"/>
        </w:trPr>
        <w:tc>
          <w:tcPr>
            <w:tcW w:w="2118" w:type="pct"/>
            <w:tcBorders>
              <w:top w:val="nil"/>
              <w:left w:val="single" w:sz="4" w:space="0" w:color="auto"/>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left"/>
              <w:rPr>
                <w:rFonts w:eastAsia="Times New Roman"/>
                <w:color w:val="000000"/>
                <w:sz w:val="22"/>
                <w:szCs w:val="22"/>
                <w:lang w:val="vi-VN" w:eastAsia="vi-VN"/>
              </w:rPr>
            </w:pPr>
            <w:r w:rsidRPr="00F04AEB">
              <w:rPr>
                <w:rFonts w:eastAsia="Times New Roman"/>
                <w:color w:val="000000"/>
                <w:sz w:val="22"/>
                <w:szCs w:val="24"/>
                <w:lang w:val="en-GB" w:eastAsia="en-GB"/>
              </w:rPr>
              <w:t>Phát hành trái phiếu chính quyền địa phương</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color w:val="000000"/>
                <w:sz w:val="22"/>
                <w:szCs w:val="22"/>
                <w:lang w:val="vi-VN" w:eastAsia="vi-VN"/>
              </w:rPr>
            </w:pPr>
            <w:r w:rsidRPr="00F04AEB">
              <w:rPr>
                <w:rFonts w:eastAsia="Times New Roman"/>
                <w:color w:val="000000"/>
                <w:sz w:val="22"/>
                <w:szCs w:val="24"/>
                <w:lang w:val="en-GB" w:eastAsia="en-GB"/>
              </w:rPr>
              <w:t>3.500</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color w:val="000000"/>
                <w:sz w:val="22"/>
                <w:szCs w:val="22"/>
                <w:lang w:val="vi-VN" w:eastAsia="vi-VN"/>
              </w:rPr>
            </w:pPr>
            <w:r w:rsidRPr="00F04AEB">
              <w:rPr>
                <w:rFonts w:eastAsia="Times New Roman"/>
                <w:color w:val="000000"/>
                <w:sz w:val="22"/>
                <w:szCs w:val="24"/>
                <w:lang w:val="en-GB" w:eastAsia="en-GB"/>
              </w:rPr>
              <w:t>2.174</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color w:val="000000"/>
                <w:sz w:val="22"/>
                <w:szCs w:val="22"/>
                <w:lang w:val="vi-VN" w:eastAsia="vi-VN"/>
              </w:rPr>
            </w:pPr>
            <w:r w:rsidRPr="00F04AEB">
              <w:rPr>
                <w:rFonts w:eastAsia="Times New Roman"/>
                <w:color w:val="000000"/>
                <w:sz w:val="22"/>
                <w:szCs w:val="24"/>
                <w:lang w:val="en-GB" w:eastAsia="en-GB"/>
              </w:rPr>
              <w:t>800</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color w:val="000000"/>
                <w:sz w:val="22"/>
                <w:szCs w:val="22"/>
                <w:lang w:val="vi-VN" w:eastAsia="vi-VN"/>
              </w:rPr>
            </w:pPr>
            <w:r w:rsidRPr="00F04AEB">
              <w:rPr>
                <w:rFonts w:eastAsia="Times New Roman"/>
                <w:color w:val="000000"/>
                <w:sz w:val="22"/>
                <w:szCs w:val="24"/>
                <w:lang w:val="en-GB" w:eastAsia="en-GB"/>
              </w:rPr>
              <w:t>969</w:t>
            </w:r>
          </w:p>
        </w:tc>
        <w:tc>
          <w:tcPr>
            <w:tcW w:w="494"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color w:val="000000"/>
                <w:sz w:val="22"/>
                <w:szCs w:val="22"/>
                <w:lang w:val="vi-VN" w:eastAsia="vi-VN"/>
              </w:rPr>
            </w:pPr>
            <w:r w:rsidRPr="00F04AEB">
              <w:rPr>
                <w:rFonts w:eastAsia="Times New Roman"/>
                <w:color w:val="000000"/>
                <w:sz w:val="22"/>
                <w:szCs w:val="24"/>
                <w:lang w:val="en-GB" w:eastAsia="en-GB"/>
              </w:rPr>
              <w:t>2.000</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color w:val="000000"/>
                <w:sz w:val="22"/>
                <w:szCs w:val="22"/>
                <w:lang w:val="vi-VN" w:eastAsia="vi-VN"/>
              </w:rPr>
            </w:pPr>
            <w:r w:rsidRPr="00F04AEB">
              <w:rPr>
                <w:rFonts w:eastAsia="Times New Roman"/>
                <w:color w:val="000000"/>
                <w:sz w:val="22"/>
                <w:szCs w:val="24"/>
                <w:lang w:val="en-GB" w:eastAsia="en-GB"/>
              </w:rPr>
              <w:t>9.443</w:t>
            </w:r>
          </w:p>
        </w:tc>
      </w:tr>
      <w:tr w:rsidR="004D25CF" w:rsidRPr="00F04AEB" w:rsidTr="00ED7ED0">
        <w:trPr>
          <w:trHeight w:val="300"/>
        </w:trPr>
        <w:tc>
          <w:tcPr>
            <w:tcW w:w="2118" w:type="pct"/>
            <w:tcBorders>
              <w:top w:val="nil"/>
              <w:left w:val="single" w:sz="4" w:space="0" w:color="auto"/>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left"/>
              <w:rPr>
                <w:rFonts w:eastAsia="Times New Roman"/>
                <w:color w:val="000000"/>
                <w:sz w:val="22"/>
                <w:szCs w:val="22"/>
                <w:lang w:val="vi-VN" w:eastAsia="vi-VN"/>
              </w:rPr>
            </w:pPr>
            <w:r w:rsidRPr="00F04AEB">
              <w:rPr>
                <w:rFonts w:eastAsia="Times New Roman"/>
                <w:color w:val="000000"/>
                <w:sz w:val="22"/>
                <w:szCs w:val="24"/>
                <w:lang w:val="en-GB" w:eastAsia="en-GB"/>
              </w:rPr>
              <w:t>Vay NHPT</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color w:val="000000"/>
                <w:sz w:val="22"/>
                <w:szCs w:val="22"/>
                <w:lang w:val="vi-VN" w:eastAsia="vi-VN"/>
              </w:rPr>
            </w:pPr>
            <w:r w:rsidRPr="00F04AEB">
              <w:rPr>
                <w:rFonts w:eastAsia="Times New Roman"/>
                <w:color w:val="000000"/>
                <w:sz w:val="22"/>
                <w:szCs w:val="24"/>
                <w:lang w:val="en-GB" w:eastAsia="en-GB"/>
              </w:rPr>
              <w:t>2.416</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color w:val="000000"/>
                <w:sz w:val="22"/>
                <w:szCs w:val="22"/>
                <w:lang w:val="vi-VN" w:eastAsia="vi-VN"/>
              </w:rPr>
            </w:pPr>
            <w:r w:rsidRPr="00F04AEB">
              <w:rPr>
                <w:rFonts w:eastAsia="Times New Roman"/>
                <w:color w:val="000000"/>
                <w:sz w:val="22"/>
                <w:szCs w:val="24"/>
                <w:lang w:val="en-GB" w:eastAsia="en-GB"/>
              </w:rPr>
              <w:t>95</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left"/>
              <w:rPr>
                <w:rFonts w:eastAsia="Times New Roman"/>
                <w:color w:val="000000"/>
                <w:sz w:val="22"/>
                <w:szCs w:val="22"/>
                <w:lang w:val="vi-VN" w:eastAsia="vi-VN"/>
              </w:rPr>
            </w:pPr>
            <w:r w:rsidRPr="00F04AEB">
              <w:rPr>
                <w:rFonts w:eastAsia="Times New Roman"/>
                <w:color w:val="000000"/>
                <w:sz w:val="22"/>
                <w:szCs w:val="24"/>
                <w:lang w:val="en-GB" w:eastAsia="en-GB"/>
              </w:rPr>
              <w:t>-</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left"/>
              <w:rPr>
                <w:rFonts w:eastAsia="Times New Roman"/>
                <w:color w:val="000000"/>
                <w:sz w:val="22"/>
                <w:szCs w:val="22"/>
                <w:lang w:val="vi-VN" w:eastAsia="vi-VN"/>
              </w:rPr>
            </w:pPr>
            <w:r w:rsidRPr="00F04AEB">
              <w:rPr>
                <w:rFonts w:eastAsia="Times New Roman"/>
                <w:color w:val="000000"/>
                <w:sz w:val="22"/>
                <w:szCs w:val="24"/>
                <w:lang w:val="en-GB" w:eastAsia="en-GB"/>
              </w:rPr>
              <w:t>-</w:t>
            </w:r>
          </w:p>
        </w:tc>
        <w:tc>
          <w:tcPr>
            <w:tcW w:w="494"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left"/>
              <w:rPr>
                <w:rFonts w:eastAsia="Times New Roman"/>
                <w:color w:val="000000"/>
                <w:sz w:val="22"/>
                <w:szCs w:val="22"/>
                <w:lang w:val="vi-VN" w:eastAsia="vi-VN"/>
              </w:rPr>
            </w:pPr>
            <w:r w:rsidRPr="00F04AEB">
              <w:rPr>
                <w:rFonts w:eastAsia="Times New Roman"/>
                <w:color w:val="000000"/>
                <w:sz w:val="22"/>
                <w:szCs w:val="24"/>
                <w:lang w:val="en-GB" w:eastAsia="en-GB"/>
              </w:rPr>
              <w:t>-</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color w:val="000000"/>
                <w:sz w:val="22"/>
                <w:szCs w:val="22"/>
                <w:lang w:val="vi-VN" w:eastAsia="vi-VN"/>
              </w:rPr>
            </w:pPr>
            <w:r w:rsidRPr="00F04AEB">
              <w:rPr>
                <w:rFonts w:eastAsia="Times New Roman"/>
                <w:color w:val="000000"/>
                <w:sz w:val="22"/>
                <w:szCs w:val="24"/>
                <w:lang w:val="en-GB" w:eastAsia="en-GB"/>
              </w:rPr>
              <w:t>2.511</w:t>
            </w:r>
          </w:p>
        </w:tc>
      </w:tr>
      <w:tr w:rsidR="004D25CF" w:rsidRPr="00F04AEB" w:rsidTr="00ED7ED0">
        <w:trPr>
          <w:trHeight w:val="300"/>
        </w:trPr>
        <w:tc>
          <w:tcPr>
            <w:tcW w:w="2118" w:type="pct"/>
            <w:tcBorders>
              <w:top w:val="nil"/>
              <w:left w:val="single" w:sz="4" w:space="0" w:color="auto"/>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left"/>
              <w:rPr>
                <w:rFonts w:eastAsia="Times New Roman"/>
                <w:color w:val="000000"/>
                <w:sz w:val="22"/>
                <w:szCs w:val="22"/>
                <w:lang w:val="vi-VN" w:eastAsia="vi-VN"/>
              </w:rPr>
            </w:pPr>
            <w:r w:rsidRPr="00F04AEB">
              <w:rPr>
                <w:rFonts w:eastAsia="Times New Roman"/>
                <w:color w:val="000000"/>
                <w:sz w:val="22"/>
                <w:szCs w:val="24"/>
                <w:lang w:val="en-GB" w:eastAsia="en-GB"/>
              </w:rPr>
              <w:t xml:space="preserve">Vay NHTM </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color w:val="000000"/>
                <w:sz w:val="22"/>
                <w:szCs w:val="22"/>
                <w:lang w:val="vi-VN" w:eastAsia="vi-VN"/>
              </w:rPr>
            </w:pPr>
            <w:r w:rsidRPr="00F04AEB">
              <w:rPr>
                <w:rFonts w:eastAsia="Times New Roman"/>
                <w:color w:val="000000"/>
                <w:sz w:val="22"/>
                <w:szCs w:val="24"/>
                <w:lang w:val="en-GB" w:eastAsia="en-GB"/>
              </w:rPr>
              <w:t>674</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color w:val="000000"/>
                <w:sz w:val="22"/>
                <w:szCs w:val="22"/>
                <w:lang w:val="vi-VN" w:eastAsia="vi-VN"/>
              </w:rPr>
            </w:pPr>
            <w:r w:rsidRPr="00F04AEB">
              <w:rPr>
                <w:rFonts w:eastAsia="Times New Roman"/>
                <w:color w:val="000000"/>
                <w:sz w:val="22"/>
                <w:szCs w:val="24"/>
                <w:lang w:val="en-GB" w:eastAsia="en-GB"/>
              </w:rPr>
              <w:t>679</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color w:val="000000"/>
                <w:sz w:val="22"/>
                <w:szCs w:val="22"/>
                <w:lang w:val="vi-VN" w:eastAsia="vi-VN"/>
              </w:rPr>
            </w:pPr>
            <w:r w:rsidRPr="00F04AEB">
              <w:rPr>
                <w:rFonts w:eastAsia="Times New Roman"/>
                <w:color w:val="000000"/>
                <w:sz w:val="22"/>
                <w:szCs w:val="24"/>
                <w:lang w:val="en-GB" w:eastAsia="en-GB"/>
              </w:rPr>
              <w:t>246</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color w:val="000000"/>
                <w:sz w:val="22"/>
                <w:szCs w:val="22"/>
                <w:lang w:val="vi-VN" w:eastAsia="vi-VN"/>
              </w:rPr>
            </w:pPr>
            <w:r w:rsidRPr="00F04AEB">
              <w:rPr>
                <w:rFonts w:eastAsia="Times New Roman"/>
                <w:color w:val="000000"/>
                <w:sz w:val="22"/>
                <w:szCs w:val="24"/>
                <w:lang w:val="en-GB" w:eastAsia="en-GB"/>
              </w:rPr>
              <w:t>84</w:t>
            </w:r>
          </w:p>
        </w:tc>
        <w:tc>
          <w:tcPr>
            <w:tcW w:w="494"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color w:val="000000"/>
                <w:sz w:val="22"/>
                <w:szCs w:val="22"/>
                <w:lang w:val="vi-VN" w:eastAsia="vi-VN"/>
              </w:rPr>
            </w:pPr>
            <w:r w:rsidRPr="00F04AEB">
              <w:rPr>
                <w:rFonts w:eastAsia="Times New Roman"/>
                <w:color w:val="000000"/>
                <w:sz w:val="22"/>
                <w:szCs w:val="24"/>
                <w:lang w:val="en-GB" w:eastAsia="en-GB"/>
              </w:rPr>
              <w:t>82</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color w:val="000000"/>
                <w:sz w:val="22"/>
                <w:szCs w:val="22"/>
                <w:lang w:val="vi-VN" w:eastAsia="vi-VN"/>
              </w:rPr>
            </w:pPr>
            <w:r w:rsidRPr="00F04AEB">
              <w:rPr>
                <w:rFonts w:eastAsia="Times New Roman"/>
                <w:color w:val="000000"/>
                <w:sz w:val="22"/>
                <w:szCs w:val="24"/>
                <w:lang w:val="en-GB" w:eastAsia="en-GB"/>
              </w:rPr>
              <w:t>1.765</w:t>
            </w:r>
          </w:p>
        </w:tc>
      </w:tr>
      <w:tr w:rsidR="004D25CF" w:rsidRPr="00F04AEB" w:rsidTr="00ED7ED0">
        <w:trPr>
          <w:trHeight w:val="285"/>
        </w:trPr>
        <w:tc>
          <w:tcPr>
            <w:tcW w:w="2118" w:type="pct"/>
            <w:tcBorders>
              <w:top w:val="nil"/>
              <w:left w:val="single" w:sz="4" w:space="0" w:color="auto"/>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left"/>
              <w:rPr>
                <w:rFonts w:eastAsia="Times New Roman"/>
                <w:b/>
                <w:bCs/>
                <w:color w:val="000000"/>
                <w:sz w:val="22"/>
                <w:szCs w:val="22"/>
                <w:lang w:val="vi-VN" w:eastAsia="vi-VN"/>
              </w:rPr>
            </w:pPr>
            <w:r w:rsidRPr="00F04AEB">
              <w:rPr>
                <w:rFonts w:eastAsia="Times New Roman"/>
                <w:b/>
                <w:bCs/>
                <w:color w:val="000000"/>
                <w:sz w:val="22"/>
                <w:szCs w:val="24"/>
                <w:lang w:eastAsia="vi-VN"/>
              </w:rPr>
              <w:t>2. Nợ chính quyền địa phương/GDP</w:t>
            </w:r>
            <w:r w:rsidRPr="00871C73">
              <w:rPr>
                <w:b/>
                <w:bCs/>
                <w:sz w:val="18"/>
                <w:szCs w:val="24"/>
                <w:vertAlign w:val="superscript"/>
              </w:rPr>
              <w:footnoteReference w:id="39"/>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b/>
                <w:bCs/>
                <w:color w:val="000000"/>
                <w:sz w:val="22"/>
                <w:szCs w:val="22"/>
                <w:lang w:val="vi-VN" w:eastAsia="vi-VN"/>
              </w:rPr>
            </w:pPr>
            <w:r w:rsidRPr="00F04AEB">
              <w:rPr>
                <w:rFonts w:eastAsia="Times New Roman"/>
                <w:b/>
                <w:bCs/>
                <w:color w:val="000000"/>
                <w:sz w:val="22"/>
                <w:szCs w:val="24"/>
                <w:lang w:eastAsia="vi-VN"/>
              </w:rPr>
              <w:t>1,10%</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b/>
                <w:bCs/>
                <w:color w:val="000000"/>
                <w:sz w:val="22"/>
                <w:szCs w:val="22"/>
                <w:lang w:val="vi-VN" w:eastAsia="vi-VN"/>
              </w:rPr>
            </w:pPr>
            <w:r w:rsidRPr="00F04AEB">
              <w:rPr>
                <w:rFonts w:eastAsia="Times New Roman"/>
                <w:b/>
                <w:bCs/>
                <w:color w:val="000000"/>
                <w:sz w:val="22"/>
                <w:szCs w:val="24"/>
                <w:lang w:eastAsia="vi-VN"/>
              </w:rPr>
              <w:t>0,90%</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b/>
                <w:bCs/>
                <w:color w:val="000000"/>
                <w:sz w:val="22"/>
                <w:szCs w:val="22"/>
                <w:lang w:val="vi-VN" w:eastAsia="vi-VN"/>
              </w:rPr>
            </w:pPr>
            <w:r w:rsidRPr="00F04AEB">
              <w:rPr>
                <w:rFonts w:eastAsia="Times New Roman"/>
                <w:b/>
                <w:bCs/>
                <w:color w:val="000000"/>
                <w:sz w:val="22"/>
                <w:szCs w:val="24"/>
                <w:lang w:eastAsia="vi-VN"/>
              </w:rPr>
              <w:t>0,70%</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b/>
                <w:bCs/>
                <w:color w:val="000000"/>
                <w:sz w:val="22"/>
                <w:szCs w:val="22"/>
                <w:lang w:val="vi-VN" w:eastAsia="vi-VN"/>
              </w:rPr>
            </w:pPr>
            <w:r w:rsidRPr="00F04AEB">
              <w:rPr>
                <w:rFonts w:eastAsia="Times New Roman"/>
                <w:b/>
                <w:bCs/>
                <w:color w:val="000000"/>
                <w:sz w:val="22"/>
                <w:szCs w:val="24"/>
                <w:lang w:eastAsia="vi-VN"/>
              </w:rPr>
              <w:t>0,50%</w:t>
            </w:r>
          </w:p>
        </w:tc>
        <w:tc>
          <w:tcPr>
            <w:tcW w:w="494"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b/>
                <w:bCs/>
                <w:color w:val="000000"/>
                <w:sz w:val="22"/>
                <w:szCs w:val="22"/>
                <w:lang w:val="vi-VN" w:eastAsia="vi-VN"/>
              </w:rPr>
            </w:pPr>
            <w:r w:rsidRPr="00F04AEB">
              <w:rPr>
                <w:rFonts w:eastAsia="Times New Roman"/>
                <w:b/>
                <w:bCs/>
                <w:color w:val="000000"/>
                <w:sz w:val="22"/>
                <w:szCs w:val="24"/>
                <w:lang w:eastAsia="vi-VN"/>
              </w:rPr>
              <w:t>0,50%</w:t>
            </w:r>
          </w:p>
        </w:tc>
        <w:tc>
          <w:tcPr>
            <w:tcW w:w="478" w:type="pct"/>
            <w:tcBorders>
              <w:top w:val="nil"/>
              <w:left w:val="nil"/>
              <w:bottom w:val="single" w:sz="4" w:space="0" w:color="auto"/>
              <w:right w:val="single" w:sz="4" w:space="0" w:color="auto"/>
            </w:tcBorders>
            <w:shd w:val="clear" w:color="auto" w:fill="auto"/>
            <w:noWrap/>
            <w:vAlign w:val="bottom"/>
            <w:hideMark/>
          </w:tcPr>
          <w:p w:rsidR="004D25CF" w:rsidRPr="00F04AEB" w:rsidRDefault="004D25CF" w:rsidP="00280322">
            <w:pPr>
              <w:widowControl/>
              <w:pBdr>
                <w:top w:val="none" w:sz="0" w:space="0" w:color="auto"/>
                <w:left w:val="none" w:sz="0" w:space="0" w:color="auto"/>
                <w:bottom w:val="none" w:sz="0" w:space="0" w:color="auto"/>
                <w:right w:val="none" w:sz="0" w:space="0" w:color="auto"/>
              </w:pBdr>
              <w:shd w:val="clear" w:color="auto" w:fill="auto"/>
              <w:spacing w:after="0"/>
              <w:ind w:firstLine="0"/>
              <w:jc w:val="right"/>
              <w:rPr>
                <w:rFonts w:eastAsia="Times New Roman"/>
                <w:b/>
                <w:bCs/>
                <w:color w:val="000000"/>
                <w:sz w:val="22"/>
                <w:szCs w:val="22"/>
                <w:lang w:val="vi-VN" w:eastAsia="vi-VN"/>
              </w:rPr>
            </w:pPr>
            <w:r w:rsidRPr="00F04AEB">
              <w:rPr>
                <w:rFonts w:eastAsia="Times New Roman"/>
                <w:b/>
                <w:bCs/>
                <w:color w:val="000000"/>
                <w:sz w:val="22"/>
                <w:szCs w:val="24"/>
                <w:lang w:val="en-GB" w:eastAsia="en-GB"/>
              </w:rPr>
              <w:t>0,75%</w:t>
            </w:r>
          </w:p>
        </w:tc>
      </w:tr>
    </w:tbl>
    <w:p w:rsidR="00262FF6" w:rsidRDefault="00262FF6" w:rsidP="007E13B0"/>
    <w:p w:rsidR="00BA5415" w:rsidRPr="000331A6" w:rsidRDefault="00BA5415" w:rsidP="00810273">
      <w:pPr>
        <w:rPr>
          <w:b/>
          <w:lang w:val="vi-VN"/>
        </w:rPr>
      </w:pPr>
      <w:bookmarkStart w:id="70" w:name="_Toc62654349"/>
      <w:r w:rsidRPr="000331A6">
        <w:rPr>
          <w:lang w:val="vi-VN"/>
        </w:rPr>
        <w:t xml:space="preserve">Tổng huy động vốn vay lại của chính quyền địa phương 5 năm đạt hơn </w:t>
      </w:r>
      <w:r w:rsidRPr="000331A6">
        <w:rPr>
          <w:b/>
          <w:lang w:val="vi-VN"/>
        </w:rPr>
        <w:t>2</w:t>
      </w:r>
      <w:r w:rsidR="00F54196">
        <w:rPr>
          <w:b/>
        </w:rPr>
        <w:t>6</w:t>
      </w:r>
      <w:r w:rsidRPr="000331A6">
        <w:rPr>
          <w:b/>
          <w:lang w:val="vi-VN"/>
        </w:rPr>
        <w:t>,</w:t>
      </w:r>
      <w:r w:rsidR="00F54196">
        <w:rPr>
          <w:b/>
        </w:rPr>
        <w:t>1</w:t>
      </w:r>
      <w:r w:rsidRPr="000331A6">
        <w:rPr>
          <w:lang w:val="vi-VN"/>
        </w:rPr>
        <w:t xml:space="preserve"> nghìn tỷ đồng, chiếm </w:t>
      </w:r>
      <w:r w:rsidRPr="000331A6">
        <w:rPr>
          <w:b/>
          <w:lang w:val="vi-VN"/>
        </w:rPr>
        <w:t>5</w:t>
      </w:r>
      <w:r w:rsidR="00F54196">
        <w:rPr>
          <w:b/>
        </w:rPr>
        <w:t>1</w:t>
      </w:r>
      <w:r w:rsidRPr="000331A6">
        <w:rPr>
          <w:b/>
          <w:lang w:val="vi-VN"/>
        </w:rPr>
        <w:t>,</w:t>
      </w:r>
      <w:r w:rsidR="00F54196">
        <w:rPr>
          <w:b/>
        </w:rPr>
        <w:t>2</w:t>
      </w:r>
      <w:r w:rsidRPr="000331A6">
        <w:rPr>
          <w:b/>
          <w:lang w:val="vi-VN"/>
        </w:rPr>
        <w:t>%</w:t>
      </w:r>
      <w:r w:rsidRPr="000331A6">
        <w:rPr>
          <w:lang w:val="vi-VN"/>
        </w:rPr>
        <w:t xml:space="preserve"> tổng vốn vay của chính quyền địa phương. các địa phương sử dụng để đầu tư các chương trình phát triển kinh tế - xã hội của địa phương. Bên cạnh việc triển khai các dự án vay ODA, vay ưu đãi nước ngoài, một số địa phương vay lại vốn vay nước ngoài theo hình thức hỗ trợ ngân sách chung nhằm thực hiện cải cách chính sách và hỗ trợ ngân sách trực tiếp cho địa phương (như thành phố </w:t>
      </w:r>
      <w:r w:rsidR="00E66C67">
        <w:rPr>
          <w:lang w:val="vi-VN"/>
        </w:rPr>
        <w:t>HCM</w:t>
      </w:r>
      <w:r w:rsidRPr="000331A6">
        <w:rPr>
          <w:lang w:val="vi-VN"/>
        </w:rPr>
        <w:t>). Nguồn huy động từ vay lại chủ yếu tăng từ năm 2017 do địa phương bắt đầu được bội chi</w:t>
      </w:r>
      <w:r w:rsidR="00A0276B">
        <w:t xml:space="preserve"> NSĐP</w:t>
      </w:r>
      <w:r w:rsidRPr="000331A6">
        <w:rPr>
          <w:lang w:val="vi-VN"/>
        </w:rPr>
        <w:t xml:space="preserve"> theo quy định của Luật NSNN và có xu hướng tăng lên nhanh chóng</w:t>
      </w:r>
      <w:r w:rsidRPr="000331A6">
        <w:rPr>
          <w:b/>
          <w:vertAlign w:val="superscript"/>
        </w:rPr>
        <w:footnoteReference w:id="40"/>
      </w:r>
      <w:r w:rsidRPr="000331A6">
        <w:rPr>
          <w:lang w:val="vi-VN"/>
        </w:rPr>
        <w:t>.</w:t>
      </w:r>
    </w:p>
    <w:p w:rsidR="00BA5415" w:rsidRPr="000331A6" w:rsidRDefault="00A342EB" w:rsidP="00810273">
      <w:pPr>
        <w:rPr>
          <w:lang w:val="vi-VN"/>
        </w:rPr>
      </w:pPr>
      <w:r>
        <w:t>V</w:t>
      </w:r>
      <w:r w:rsidR="00BA5415" w:rsidRPr="000331A6">
        <w:rPr>
          <w:lang w:val="vi-VN"/>
        </w:rPr>
        <w:t xml:space="preserve">ay </w:t>
      </w:r>
      <w:r w:rsidR="00BA5415" w:rsidRPr="000331A6">
        <w:t>ngân quỹ nhà nước</w:t>
      </w:r>
      <w:r w:rsidR="00D77DCB">
        <w:t xml:space="preserve"> (từ năm 2019 gọi là tạm ứng ngân quỹ nhà nước)</w:t>
      </w:r>
      <w:r w:rsidR="00BA5415" w:rsidRPr="000331A6">
        <w:rPr>
          <w:lang w:val="vi-VN"/>
        </w:rPr>
        <w:t xml:space="preserve"> hơn </w:t>
      </w:r>
      <w:r w:rsidR="00BA5415" w:rsidRPr="000331A6">
        <w:rPr>
          <w:b/>
          <w:lang w:val="vi-VN"/>
        </w:rPr>
        <w:t>10,8</w:t>
      </w:r>
      <w:r w:rsidR="00BA5415" w:rsidRPr="000331A6">
        <w:rPr>
          <w:lang w:val="vi-VN"/>
        </w:rPr>
        <w:t xml:space="preserve"> nghìn tỷ đồng, chiếm </w:t>
      </w:r>
      <w:r w:rsidR="00BA5415" w:rsidRPr="000331A6">
        <w:rPr>
          <w:b/>
          <w:lang w:val="vi-VN"/>
        </w:rPr>
        <w:t>2</w:t>
      </w:r>
      <w:r w:rsidR="00F54196">
        <w:rPr>
          <w:b/>
        </w:rPr>
        <w:t>1</w:t>
      </w:r>
      <w:r w:rsidR="00BA5415" w:rsidRPr="000331A6">
        <w:rPr>
          <w:b/>
          <w:lang w:val="vi-VN"/>
        </w:rPr>
        <w:t>,</w:t>
      </w:r>
      <w:r w:rsidR="00F54196">
        <w:rPr>
          <w:b/>
        </w:rPr>
        <w:t>3</w:t>
      </w:r>
      <w:r w:rsidR="00BA5415" w:rsidRPr="000331A6">
        <w:rPr>
          <w:b/>
          <w:lang w:val="vi-VN"/>
        </w:rPr>
        <w:t>%</w:t>
      </w:r>
      <w:r w:rsidR="00BA5415" w:rsidRPr="000331A6">
        <w:rPr>
          <w:lang w:val="vi-VN"/>
        </w:rPr>
        <w:t xml:space="preserve"> cơ cấu vay của chính quyền địa phương, để bù đắp thiếu hụt tạm thời cho NSĐP để thực hiện các dự án đã hoàn thành thủ tục đầu tư theo quy định của pháp luật</w:t>
      </w:r>
      <w:r w:rsidR="00BA5415" w:rsidRPr="000331A6">
        <w:rPr>
          <w:b/>
          <w:vertAlign w:val="superscript"/>
        </w:rPr>
        <w:footnoteReference w:id="41"/>
      </w:r>
      <w:r w:rsidR="00BA5415" w:rsidRPr="000331A6">
        <w:t>.</w:t>
      </w:r>
      <w:r w:rsidR="00BA5415" w:rsidRPr="000331A6">
        <w:rPr>
          <w:lang w:val="vi-VN"/>
        </w:rPr>
        <w:t xml:space="preserve"> </w:t>
      </w:r>
    </w:p>
    <w:p w:rsidR="00BA5415" w:rsidRPr="00992238" w:rsidRDefault="00A342EB" w:rsidP="00810273">
      <w:r w:rsidRPr="009828C1">
        <w:t>P</w:t>
      </w:r>
      <w:r w:rsidR="00BA5415" w:rsidRPr="009828C1">
        <w:rPr>
          <w:lang w:val="vi-VN"/>
        </w:rPr>
        <w:t xml:space="preserve">hát hành trái phiếu chính quyền địa phương khoảng </w:t>
      </w:r>
      <w:r w:rsidR="00BA5415" w:rsidRPr="009828C1">
        <w:rPr>
          <w:b/>
          <w:lang w:val="vi-VN"/>
        </w:rPr>
        <w:t>9,4</w:t>
      </w:r>
      <w:r w:rsidR="00BA5415" w:rsidRPr="009828C1">
        <w:rPr>
          <w:lang w:val="vi-VN"/>
        </w:rPr>
        <w:t xml:space="preserve"> nghìn tỷ đồng, chiếm </w:t>
      </w:r>
      <w:r w:rsidR="00BA5415" w:rsidRPr="009828C1">
        <w:rPr>
          <w:b/>
          <w:lang w:val="vi-VN"/>
        </w:rPr>
        <w:t>1</w:t>
      </w:r>
      <w:r w:rsidR="00F54196" w:rsidRPr="009828C1">
        <w:rPr>
          <w:b/>
        </w:rPr>
        <w:t>8</w:t>
      </w:r>
      <w:r w:rsidR="00BA5415" w:rsidRPr="009828C1">
        <w:rPr>
          <w:b/>
          <w:lang w:val="vi-VN"/>
        </w:rPr>
        <w:t>,</w:t>
      </w:r>
      <w:r w:rsidR="00F54196" w:rsidRPr="009828C1">
        <w:rPr>
          <w:b/>
        </w:rPr>
        <w:t>6</w:t>
      </w:r>
      <w:r w:rsidR="00BA5415" w:rsidRPr="009828C1">
        <w:rPr>
          <w:b/>
          <w:lang w:val="vi-VN"/>
        </w:rPr>
        <w:t>%</w:t>
      </w:r>
      <w:r w:rsidR="00BA5415" w:rsidRPr="009828C1">
        <w:rPr>
          <w:lang w:val="vi-VN"/>
        </w:rPr>
        <w:t xml:space="preserve"> khối lượng vay vốn của chính quyền địa phương, đáp ứng một phần nhu cầu huy động vốn để đầu tư cho các dự án thuộc nhiệm vụ chi của NSĐP. </w:t>
      </w:r>
      <w:r w:rsidR="00BA5415" w:rsidRPr="009828C1">
        <w:rPr>
          <w:lang w:val="vi-VN"/>
        </w:rPr>
        <w:lastRenderedPageBreak/>
        <w:t xml:space="preserve">Trong các địa phương, </w:t>
      </w:r>
      <w:r w:rsidR="00992238" w:rsidRPr="009828C1">
        <w:t xml:space="preserve">TP. </w:t>
      </w:r>
      <w:proofErr w:type="gramStart"/>
      <w:r w:rsidR="00992238" w:rsidRPr="009828C1">
        <w:t>HCM</w:t>
      </w:r>
      <w:r w:rsidR="00BA5415" w:rsidRPr="009828C1">
        <w:rPr>
          <w:lang w:val="vi-VN"/>
        </w:rPr>
        <w:t xml:space="preserve"> là nhà phát hành lớn nhất trên thị trường trái phiếu chính quyền địa phương và là địa phương đầu tiên phát hành thành công trái phiếu kỳ hạn 30 năm.</w:t>
      </w:r>
      <w:proofErr w:type="gramEnd"/>
      <w:r w:rsidR="00992238" w:rsidRPr="009828C1">
        <w:t xml:space="preserve"> Nguồn vốn huy động từ phát hành trái phiếu chính quyền địa phương còn hạn chế, chỉ tập trung vào một số địa phương (TP. HCM, TP. Hải Phòng); tuy nhiên nguồn vốn huy động trái phiếu chính quyền địa phương góp phần hỗ trợ cân đối nhu cầu vốn dài hạn của NSĐP với mức lãi suất phát hành ngày càng giảm, qua đó tiết kiệm chi phí cho NSĐP.</w:t>
      </w:r>
    </w:p>
    <w:p w:rsidR="00BA5415" w:rsidRPr="000331A6" w:rsidRDefault="00BA5415" w:rsidP="00810273">
      <w:pPr>
        <w:rPr>
          <w:lang w:val="vi-VN"/>
        </w:rPr>
      </w:pPr>
      <w:bookmarkStart w:id="71" w:name="_Toc56607581"/>
      <w:r w:rsidRPr="000331A6">
        <w:rPr>
          <w:lang w:val="vi-VN"/>
        </w:rPr>
        <w:t xml:space="preserve">Tổng mức NSĐP vay từ NHPT khoảng </w:t>
      </w:r>
      <w:r w:rsidRPr="000331A6">
        <w:rPr>
          <w:b/>
          <w:lang w:val="vi-VN"/>
        </w:rPr>
        <w:t>2,5</w:t>
      </w:r>
      <w:r w:rsidRPr="000331A6">
        <w:rPr>
          <w:lang w:val="vi-VN"/>
        </w:rPr>
        <w:t xml:space="preserve"> nghìn tỷ đồng, thấp hơn giai đoạn </w:t>
      </w:r>
      <w:r w:rsidR="00F2282D">
        <w:rPr>
          <w:lang w:val="vi-VN"/>
        </w:rPr>
        <w:t>2011 - 2015</w:t>
      </w:r>
      <w:r w:rsidRPr="000331A6">
        <w:rPr>
          <w:lang w:val="vi-VN"/>
        </w:rPr>
        <w:t xml:space="preserve"> (khoảng </w:t>
      </w:r>
      <w:r w:rsidRPr="000331A6">
        <w:rPr>
          <w:b/>
          <w:lang w:val="vi-VN"/>
        </w:rPr>
        <w:t>35</w:t>
      </w:r>
      <w:r w:rsidRPr="000331A6">
        <w:rPr>
          <w:lang w:val="vi-VN"/>
        </w:rPr>
        <w:t xml:space="preserve"> nghìn tỷ đồng) do trước đây nguồn vốn vay từ NHPT tương đối rẻ nên chính quyền địa phương đẩy mạnh vay vốn từ các nguồn này, tuy nhiên đến giai đoạn </w:t>
      </w:r>
      <w:r w:rsidR="0026450F">
        <w:rPr>
          <w:lang w:val="vi-VN"/>
        </w:rPr>
        <w:t>2016 - 2020</w:t>
      </w:r>
      <w:r w:rsidRPr="000331A6">
        <w:rPr>
          <w:lang w:val="vi-VN"/>
        </w:rPr>
        <w:t xml:space="preserve"> đã giảm dần và bắt đầu không rút vốn từ nguồn vay này từ năm 2018</w:t>
      </w:r>
      <w:r w:rsidRPr="000331A6">
        <w:rPr>
          <w:b/>
          <w:vertAlign w:val="superscript"/>
        </w:rPr>
        <w:footnoteReference w:id="42"/>
      </w:r>
      <w:r w:rsidRPr="000331A6">
        <w:rPr>
          <w:lang w:val="vi-VN"/>
        </w:rPr>
        <w:t xml:space="preserve">. Ngoài ra, chính quyền địa phương thực hiện vay khoảng </w:t>
      </w:r>
      <w:r w:rsidRPr="000331A6">
        <w:rPr>
          <w:b/>
          <w:lang w:val="vi-VN"/>
        </w:rPr>
        <w:t>1,7</w:t>
      </w:r>
      <w:r w:rsidRPr="000331A6">
        <w:rPr>
          <w:lang w:val="vi-VN"/>
        </w:rPr>
        <w:t xml:space="preserve"> nghìn tỷ đồng từ NHTM. </w:t>
      </w:r>
    </w:p>
    <w:p w:rsidR="00BA5415" w:rsidRPr="00DD7212" w:rsidRDefault="00DD7212" w:rsidP="00810273">
      <w:pPr>
        <w:pStyle w:val="Heading3"/>
      </w:pPr>
      <w:r w:rsidRPr="00DD7212">
        <w:t>2.2.</w:t>
      </w:r>
      <w:r w:rsidR="00BA5415" w:rsidRPr="00DD7212">
        <w:t xml:space="preserve"> Về trả nợ </w:t>
      </w:r>
      <w:r w:rsidR="00E05E23" w:rsidRPr="00DD7212">
        <w:t xml:space="preserve">gốc. </w:t>
      </w:r>
      <w:proofErr w:type="gramStart"/>
      <w:r w:rsidR="00E05E23" w:rsidRPr="00DD7212">
        <w:t>lãi</w:t>
      </w:r>
      <w:proofErr w:type="gramEnd"/>
      <w:r w:rsidR="00E05E23" w:rsidRPr="00DD7212">
        <w:t xml:space="preserve"> vay </w:t>
      </w:r>
      <w:r w:rsidR="00BA5415" w:rsidRPr="00DD7212">
        <w:t>của chính quyền địa phương</w:t>
      </w:r>
      <w:bookmarkEnd w:id="71"/>
    </w:p>
    <w:p w:rsidR="000B57F1" w:rsidRPr="000331A6" w:rsidRDefault="00BA5415" w:rsidP="00810273">
      <w:r w:rsidRPr="000331A6">
        <w:rPr>
          <w:lang w:val="vi-VN"/>
        </w:rPr>
        <w:t xml:space="preserve">Tổng trả nợ của chính quyền địa phương giai đoạn </w:t>
      </w:r>
      <w:r w:rsidR="0026450F">
        <w:rPr>
          <w:lang w:val="vi-VN"/>
        </w:rPr>
        <w:t>2016 - 2020</w:t>
      </w:r>
      <w:r w:rsidRPr="000331A6">
        <w:rPr>
          <w:lang w:val="vi-VN"/>
        </w:rPr>
        <w:t xml:space="preserve"> khoảng </w:t>
      </w:r>
      <w:r w:rsidRPr="000331A6">
        <w:rPr>
          <w:b/>
          <w:lang w:val="vi-VN"/>
        </w:rPr>
        <w:t>87,4</w:t>
      </w:r>
      <w:r w:rsidRPr="000331A6">
        <w:rPr>
          <w:lang w:val="vi-VN"/>
        </w:rPr>
        <w:t xml:space="preserve"> nghìn tỷ đồng, trong đó trả gốc là </w:t>
      </w:r>
      <w:r w:rsidRPr="000331A6">
        <w:rPr>
          <w:b/>
          <w:lang w:val="vi-VN"/>
        </w:rPr>
        <w:t>75,5</w:t>
      </w:r>
      <w:r w:rsidRPr="000331A6">
        <w:rPr>
          <w:lang w:val="vi-VN"/>
        </w:rPr>
        <w:t xml:space="preserve"> nghìn tỷ đồng, trả nợ lãi và phí khoảng </w:t>
      </w:r>
      <w:r w:rsidRPr="000331A6">
        <w:rPr>
          <w:b/>
          <w:lang w:val="vi-VN"/>
        </w:rPr>
        <w:t>11,9</w:t>
      </w:r>
      <w:r w:rsidRPr="000331A6">
        <w:rPr>
          <w:lang w:val="vi-VN"/>
        </w:rPr>
        <w:t xml:space="preserve"> nghìn tỷ đồng. Nhìn chung, các địa phương đều</w:t>
      </w:r>
      <w:r w:rsidR="00E05E23" w:rsidRPr="000331A6">
        <w:t xml:space="preserve"> cân đối NSĐP, nguồn tăng thu, tiết kiệm chi, kết dư NSĐP</w:t>
      </w:r>
      <w:r w:rsidRPr="000331A6">
        <w:rPr>
          <w:lang w:val="vi-VN"/>
        </w:rPr>
        <w:t xml:space="preserve"> bố trí đủ nguồn vốn để thanh toán các khoản nợ đầy đủ, đúng hạn, không phát sinh nợ quá hạn. </w:t>
      </w:r>
    </w:p>
    <w:p w:rsidR="00D633B8" w:rsidRPr="00A30AA5" w:rsidRDefault="00D633B8" w:rsidP="00810273">
      <w:pPr>
        <w:pStyle w:val="Heading3"/>
      </w:pPr>
      <w:r w:rsidRPr="00A30AA5">
        <w:t>2.3.</w:t>
      </w:r>
      <w:r w:rsidR="00F63F98" w:rsidRPr="00A30AA5">
        <w:t xml:space="preserve"> </w:t>
      </w:r>
      <w:r w:rsidRPr="00A30AA5">
        <w:t xml:space="preserve">Về </w:t>
      </w:r>
      <w:r w:rsidR="00EE607D" w:rsidRPr="00A30AA5">
        <w:t xml:space="preserve">công tác quản lý </w:t>
      </w:r>
      <w:r w:rsidRPr="00A30AA5">
        <w:t>n</w:t>
      </w:r>
      <w:r w:rsidR="00BA5415" w:rsidRPr="00A30AA5">
        <w:t>ợ chính quyền địa phương</w:t>
      </w:r>
    </w:p>
    <w:p w:rsidR="0052664B" w:rsidRPr="000331A6" w:rsidRDefault="00D633B8" w:rsidP="00810273">
      <w:pPr>
        <w:rPr>
          <w:lang w:val="da-DK"/>
        </w:rPr>
      </w:pPr>
      <w:r>
        <w:rPr>
          <w:lang w:val="da-DK"/>
        </w:rPr>
        <w:t>G</w:t>
      </w:r>
      <w:r w:rsidR="00BA5415" w:rsidRPr="000331A6">
        <w:rPr>
          <w:lang w:val="da-DK"/>
        </w:rPr>
        <w:t xml:space="preserve">iai đoạn </w:t>
      </w:r>
      <w:r w:rsidR="0026450F">
        <w:rPr>
          <w:lang w:val="da-DK"/>
        </w:rPr>
        <w:t>2016 - 2020</w:t>
      </w:r>
      <w:r w:rsidR="00BA5415" w:rsidRPr="000331A6">
        <w:rPr>
          <w:lang w:val="da-DK"/>
        </w:rPr>
        <w:t xml:space="preserve"> có xu hướng giảm dần cả về tổng mức dư nợ và tỷ lệ so với GDP. Cơ cấu nợ chính quyền địa phương cũng có sự thay đổi theo hướng tỷ trọng các khoản vay từ phát hành trái phiếu chính quyền địa phương giảm dần, từ khoảng </w:t>
      </w:r>
      <w:r w:rsidR="00A34BE3">
        <w:rPr>
          <w:b/>
          <w:lang w:val="da-DK"/>
        </w:rPr>
        <w:t>24</w:t>
      </w:r>
      <w:r w:rsidR="00BA5415" w:rsidRPr="000331A6">
        <w:rPr>
          <w:b/>
          <w:lang w:val="da-DK"/>
        </w:rPr>
        <w:t>,</w:t>
      </w:r>
      <w:r w:rsidR="00A34BE3">
        <w:rPr>
          <w:b/>
          <w:lang w:val="da-DK"/>
        </w:rPr>
        <w:t>3</w:t>
      </w:r>
      <w:r w:rsidR="00BA5415" w:rsidRPr="000331A6">
        <w:rPr>
          <w:b/>
          <w:lang w:val="da-DK"/>
        </w:rPr>
        <w:t>%</w:t>
      </w:r>
      <w:r w:rsidR="00BA5415" w:rsidRPr="000331A6">
        <w:rPr>
          <w:lang w:val="da-DK"/>
        </w:rPr>
        <w:t xml:space="preserve"> tổng dư nợ chính quyền địa phương </w:t>
      </w:r>
      <w:r w:rsidR="000314CB" w:rsidRPr="000331A6">
        <w:rPr>
          <w:lang w:val="da-DK"/>
        </w:rPr>
        <w:t xml:space="preserve">đầu </w:t>
      </w:r>
      <w:r w:rsidR="00BA5415" w:rsidRPr="000331A6">
        <w:rPr>
          <w:lang w:val="da-DK"/>
        </w:rPr>
        <w:t>năm 201</w:t>
      </w:r>
      <w:r w:rsidR="000314CB" w:rsidRPr="000331A6">
        <w:rPr>
          <w:lang w:val="da-DK"/>
        </w:rPr>
        <w:t>7</w:t>
      </w:r>
      <w:r w:rsidR="00BA5415" w:rsidRPr="000331A6">
        <w:rPr>
          <w:lang w:val="da-DK"/>
        </w:rPr>
        <w:t xml:space="preserve"> xuống còn khoảng </w:t>
      </w:r>
      <w:r w:rsidR="00A34BE3">
        <w:rPr>
          <w:b/>
          <w:lang w:val="da-DK"/>
        </w:rPr>
        <w:t>13</w:t>
      </w:r>
      <w:r w:rsidR="00BA5415" w:rsidRPr="000331A6">
        <w:rPr>
          <w:b/>
          <w:lang w:val="da-DK"/>
        </w:rPr>
        <w:t>,</w:t>
      </w:r>
      <w:r w:rsidR="00A34BE3">
        <w:rPr>
          <w:b/>
          <w:lang w:val="da-DK"/>
        </w:rPr>
        <w:t>7</w:t>
      </w:r>
      <w:r w:rsidR="00BA5415" w:rsidRPr="000331A6">
        <w:rPr>
          <w:b/>
          <w:lang w:val="da-DK"/>
        </w:rPr>
        <w:t>%</w:t>
      </w:r>
      <w:r w:rsidR="00BA5415" w:rsidRPr="000331A6">
        <w:rPr>
          <w:lang w:val="da-DK"/>
        </w:rPr>
        <w:t xml:space="preserve"> cuối năm 2020; tỷ trọng các khoản cho vay lại chính quyền địa phương tăng nhanh, từ mức </w:t>
      </w:r>
      <w:r w:rsidR="00A34BE3">
        <w:rPr>
          <w:b/>
          <w:lang w:val="da-DK"/>
        </w:rPr>
        <w:t>51</w:t>
      </w:r>
      <w:r w:rsidR="00BA5415" w:rsidRPr="000331A6">
        <w:rPr>
          <w:b/>
          <w:lang w:val="da-DK"/>
        </w:rPr>
        <w:t>,</w:t>
      </w:r>
      <w:r w:rsidR="00A34BE3">
        <w:rPr>
          <w:b/>
          <w:lang w:val="da-DK"/>
        </w:rPr>
        <w:t>6</w:t>
      </w:r>
      <w:r w:rsidR="00BA5415" w:rsidRPr="000331A6">
        <w:rPr>
          <w:b/>
          <w:lang w:val="da-DK"/>
        </w:rPr>
        <w:t>%</w:t>
      </w:r>
      <w:r w:rsidR="00BA5415" w:rsidRPr="000331A6">
        <w:rPr>
          <w:lang w:val="da-DK"/>
        </w:rPr>
        <w:t xml:space="preserve"> năm 201</w:t>
      </w:r>
      <w:r w:rsidR="000314CB" w:rsidRPr="000331A6">
        <w:rPr>
          <w:lang w:val="da-DK"/>
        </w:rPr>
        <w:t>7</w:t>
      </w:r>
      <w:r w:rsidR="00BA5415" w:rsidRPr="000331A6">
        <w:rPr>
          <w:lang w:val="da-DK"/>
        </w:rPr>
        <w:t xml:space="preserve"> tổng dư nợ lên </w:t>
      </w:r>
      <w:r w:rsidR="00A34BE3">
        <w:rPr>
          <w:b/>
          <w:lang w:val="da-DK"/>
        </w:rPr>
        <w:t>85</w:t>
      </w:r>
      <w:r w:rsidR="00BA5415" w:rsidRPr="000331A6">
        <w:rPr>
          <w:b/>
          <w:lang w:val="da-DK"/>
        </w:rPr>
        <w:t>,</w:t>
      </w:r>
      <w:r w:rsidR="00A34BE3">
        <w:rPr>
          <w:b/>
          <w:lang w:val="da-DK"/>
        </w:rPr>
        <w:t>7</w:t>
      </w:r>
      <w:r w:rsidR="00BA5415" w:rsidRPr="000331A6">
        <w:rPr>
          <w:b/>
          <w:lang w:val="da-DK"/>
        </w:rPr>
        <w:t>%</w:t>
      </w:r>
      <w:r w:rsidR="00BA5415" w:rsidRPr="000331A6">
        <w:rPr>
          <w:lang w:val="da-DK"/>
        </w:rPr>
        <w:t xml:space="preserve"> cuối năm 2020; phản ánh chính sách đẩy mạnh cho vay lại chính quyền địa phương để tăng tính tự chủ, tự chịu trách nhiệm của các địa phương. </w:t>
      </w:r>
      <w:bookmarkEnd w:id="70"/>
    </w:p>
    <w:p w:rsidR="0052664B" w:rsidRPr="000331A6" w:rsidRDefault="0008064B" w:rsidP="00810273">
      <w:r w:rsidRPr="000331A6">
        <w:t xml:space="preserve">Các địa phương </w:t>
      </w:r>
      <w:r w:rsidR="00A8017D" w:rsidRPr="000331A6">
        <w:t>cơ bản</w:t>
      </w:r>
      <w:r w:rsidRPr="000331A6">
        <w:t xml:space="preserve"> đảm bảo mức dư nợ trong giới hạn quy định của Luật NSNN</w:t>
      </w:r>
      <w:r w:rsidR="00A8017D" w:rsidRPr="000331A6">
        <w:t xml:space="preserve">, một số ít địa phương những năm đầu giai đoạn </w:t>
      </w:r>
      <w:r w:rsidR="008B242F">
        <w:t>2017 - 2020</w:t>
      </w:r>
      <w:r w:rsidR="00B373F0" w:rsidRPr="000331A6">
        <w:t xml:space="preserve"> chỉ số thanh khoản đảm bảo đầy đủ, đúng hạn, nhưng</w:t>
      </w:r>
      <w:r w:rsidR="00A8017D" w:rsidRPr="000331A6">
        <w:t xml:space="preserve"> </w:t>
      </w:r>
      <w:r w:rsidR="001605E7" w:rsidRPr="000331A6">
        <w:t xml:space="preserve">chỉ số về khả năng trả nợ </w:t>
      </w:r>
      <w:r w:rsidR="00A8017D" w:rsidRPr="000331A6">
        <w:t>vượt mức dư nợ cho phép,</w:t>
      </w:r>
      <w:r w:rsidR="00EA731C">
        <w:t xml:space="preserve"> địa phương phải xây dựng kế hoạch trung hạn về vay, nợ và giải trình về hiệu quả hoạt động vay, nợ, chỉ được vay mới khi không làm tăng tổng dư nợ của địa phương</w:t>
      </w:r>
      <w:r w:rsidR="00A8017D" w:rsidRPr="00EA731C">
        <w:rPr>
          <w:rStyle w:val="FootnoteReference"/>
          <w:b/>
        </w:rPr>
        <w:footnoteReference w:id="43"/>
      </w:r>
      <w:r w:rsidRPr="000331A6">
        <w:t xml:space="preserve">; các cơ quan, ban ngành và các Ban quản lý dự án tại địa phương luôn có sự phối hợp chặt chẽ trong lập dự toán, thanh toán, giải ngân </w:t>
      </w:r>
      <w:r w:rsidRPr="000331A6">
        <w:lastRenderedPageBreak/>
        <w:t xml:space="preserve">nguồn vốn vay. Tuy nhiên, nhu cầu bố trí nguồn vốn ODA của các dự </w:t>
      </w:r>
      <w:proofErr w:type="gramStart"/>
      <w:r w:rsidRPr="000331A6">
        <w:t>án</w:t>
      </w:r>
      <w:proofErr w:type="gramEnd"/>
      <w:r w:rsidRPr="000331A6">
        <w:t xml:space="preserve"> tăng cao, gây áp lực trực tiếp tới bội chi NSĐP. Tăng vay nợ chính quyền địa phương </w:t>
      </w:r>
      <w:proofErr w:type="gramStart"/>
      <w:r w:rsidRPr="000331A6">
        <w:t>theo</w:t>
      </w:r>
      <w:proofErr w:type="gramEnd"/>
      <w:r w:rsidRPr="000331A6">
        <w:t xml:space="preserve"> các hiệp định vay đã ký kết. </w:t>
      </w:r>
      <w:proofErr w:type="gramStart"/>
      <w:r w:rsidRPr="000331A6">
        <w:t>Rủi ro tỷ giá, lãi suất và việc áp dụng điều khoản trả nợ nhanh khi Việt Nam dừng nhận các khoản vay ưu đãi từ Hiệp hội phát triển quốc tế (IDA) sẽ làm tăng nghĩa vụ trả nợ gốc các địa phương từ năm 2020.</w:t>
      </w:r>
      <w:proofErr w:type="gramEnd"/>
    </w:p>
    <w:p w:rsidR="0052664B" w:rsidRPr="000331A6" w:rsidRDefault="007E241E" w:rsidP="00810273">
      <w:r w:rsidRPr="000331A6">
        <w:t xml:space="preserve">Hịện nay, công tác quản lý vay, nợ ở địa phương được giao cho Sở Tài chính phối hợp với Sở Kế hoạch và Đầu tư, các cơ quan, đơn vị theo dõi, đôn đốc thực hiện, các khoản vay, trả nợ được kiểm soát chặt chẽ qua kho bạc, ngân hàng; bám sát vào kế hoạch, khế ước để thực hiện nghĩa vụ trả nợ theo đúng cam kết, hợp đồng. Tuy nhiên, công tác quản lý vay, nợ ở địa phương qua nhiều đầu mối chưa tập trung, lực lượng mỏng, trong khi công tác quản lý vay, nợ có khối lượng lớn, nguồn vốn vay, nợ đa dạng, thời gian vay, nợ dài, công tác phối hợp giữa các cơ quan chưa chặt chẽ đã ảnh hưởng đến công tác quản lý vay, nợ. </w:t>
      </w:r>
      <w:proofErr w:type="gramStart"/>
      <w:r w:rsidRPr="000331A6">
        <w:t>giảm</w:t>
      </w:r>
      <w:proofErr w:type="gramEnd"/>
      <w:r w:rsidRPr="000331A6">
        <w:t xml:space="preserve"> hiệu quả sử dụng vốn vay. </w:t>
      </w:r>
      <w:bookmarkStart w:id="72" w:name="_Toc62654351"/>
      <w:bookmarkStart w:id="73" w:name="_Toc62657715"/>
    </w:p>
    <w:p w:rsidR="0052664B" w:rsidRPr="00A30AA5" w:rsidRDefault="0008064B" w:rsidP="00810273">
      <w:pPr>
        <w:pStyle w:val="Heading2"/>
      </w:pPr>
      <w:bookmarkStart w:id="74" w:name="_Toc87619921"/>
      <w:r w:rsidRPr="00A30AA5">
        <w:t>3.</w:t>
      </w:r>
      <w:bookmarkEnd w:id="72"/>
      <w:r w:rsidRPr="00A30AA5">
        <w:t xml:space="preserve"> </w:t>
      </w:r>
      <w:bookmarkStart w:id="75" w:name="_Toc53064598"/>
      <w:bookmarkStart w:id="76" w:name="_Toc62654352"/>
      <w:r w:rsidRPr="00A30AA5">
        <w:t xml:space="preserve">Một số </w:t>
      </w:r>
      <w:r w:rsidR="00931411" w:rsidRPr="00CC5B58">
        <w:t>yếu tố</w:t>
      </w:r>
      <w:r w:rsidR="00931411">
        <w:t xml:space="preserve"> </w:t>
      </w:r>
      <w:r w:rsidRPr="00931411">
        <w:t>rủi ro</w:t>
      </w:r>
      <w:r w:rsidRPr="00A30AA5">
        <w:t xml:space="preserve"> tác động đến cân đối ngân sách địa phương</w:t>
      </w:r>
      <w:bookmarkStart w:id="77" w:name="_Toc62654353"/>
      <w:bookmarkEnd w:id="73"/>
      <w:bookmarkEnd w:id="74"/>
      <w:bookmarkEnd w:id="75"/>
      <w:bookmarkEnd w:id="76"/>
    </w:p>
    <w:p w:rsidR="0052664B" w:rsidRPr="000331A6" w:rsidRDefault="0008064B" w:rsidP="00810273">
      <w:pPr>
        <w:pStyle w:val="Heading3"/>
      </w:pPr>
      <w:r w:rsidRPr="00954103">
        <w:t xml:space="preserve">3.1. </w:t>
      </w:r>
      <w:bookmarkStart w:id="78" w:name="_Toc53064599"/>
      <w:r w:rsidRPr="00954103">
        <w:t>Nợ khối lượng đầu tư</w:t>
      </w:r>
      <w:r w:rsidRPr="000331A6">
        <w:t xml:space="preserve"> xây dựng cơ bản</w:t>
      </w:r>
      <w:bookmarkEnd w:id="77"/>
      <w:bookmarkEnd w:id="78"/>
    </w:p>
    <w:p w:rsidR="00CA013E" w:rsidRPr="000331A6" w:rsidRDefault="0008064B" w:rsidP="00810273">
      <w:proofErr w:type="gramStart"/>
      <w:r w:rsidRPr="000331A6">
        <w:t>Việc ứng trước vốn kế hoạch hằng năm trong giai đoạn 2016 - 2020 được kiểm soát, quản lý chặt chẽ, bảo đảm việc ứng trước kế hoạch phù hợp với quy định của Luật Đầu tư công, Luật NSNN.</w:t>
      </w:r>
      <w:proofErr w:type="gramEnd"/>
      <w:r w:rsidRPr="000331A6">
        <w:t xml:space="preserve"> Kế hoạch đầu tư công giai đoạn </w:t>
      </w:r>
      <w:r w:rsidR="0026450F">
        <w:t>2016 - 2020</w:t>
      </w:r>
      <w:r w:rsidRPr="000331A6">
        <w:t xml:space="preserve"> đã bố trí đủ vốn NSTW cho các Bộ, cơ quan trung ương và địa phương để thanh toán vốn nợ đọng XDCB nguồn NSTW đến hết ngày 31/12/2014 của các dự án được giao kế hoạch đầu tư công trung hạn là </w:t>
      </w:r>
      <w:r w:rsidRPr="000331A6">
        <w:rPr>
          <w:b/>
        </w:rPr>
        <w:t>8,5</w:t>
      </w:r>
      <w:r w:rsidRPr="000331A6">
        <w:t xml:space="preserve"> nghìn tỷ đồng, trong đó: thanh toán cho các dự án thuộc các ngành, lĩnh vực, chương trình mục tiêu là </w:t>
      </w:r>
      <w:r w:rsidRPr="000331A6">
        <w:rPr>
          <w:b/>
        </w:rPr>
        <w:t>7,5</w:t>
      </w:r>
      <w:r w:rsidRPr="000331A6">
        <w:t xml:space="preserve"> nghìn tỷ đồng; các dự án thuộc 02 chương trình mục tiêu Quốc gia là </w:t>
      </w:r>
      <w:r w:rsidRPr="000331A6">
        <w:rPr>
          <w:b/>
        </w:rPr>
        <w:t>01</w:t>
      </w:r>
      <w:r w:rsidRPr="000331A6">
        <w:t xml:space="preserve"> nghìn tỷ đồng. </w:t>
      </w:r>
    </w:p>
    <w:p w:rsidR="00CA013E" w:rsidRPr="000331A6" w:rsidRDefault="0008064B" w:rsidP="00810273">
      <w:r w:rsidRPr="000331A6">
        <w:t>Đối với nợ đọng XDCB nguồn NSĐP</w:t>
      </w:r>
      <w:r w:rsidR="00045FF0" w:rsidRPr="00EB60AE">
        <w:rPr>
          <w:rStyle w:val="FootnoteReference"/>
          <w:b/>
        </w:rPr>
        <w:footnoteReference w:id="44"/>
      </w:r>
      <w:r w:rsidRPr="000331A6">
        <w:t xml:space="preserve">, công tác xử lý nợ đọng được triển khai thực hiện nghiêm túc, theo đó từng chương trình, nguồn vốn khi chưa bố trí trả dứt điểm nợ đọng xây dựng cơ bản thì không được bố trí cho các dự án khởi công mới. </w:t>
      </w:r>
      <w:proofErr w:type="gramStart"/>
      <w:r w:rsidRPr="000331A6">
        <w:t>Các địa phương chủ động không để phát sinh nợ đọng XDCB hàng năm.</w:t>
      </w:r>
      <w:proofErr w:type="gramEnd"/>
      <w:r w:rsidRPr="000331A6">
        <w:t xml:space="preserve"> Tất cả dự án đầu tư xây dựng trên địa bàn đều được thẩm định đảm bảo đủ nguồn vốn </w:t>
      </w:r>
      <w:proofErr w:type="gramStart"/>
      <w:r w:rsidRPr="000331A6">
        <w:t>theo</w:t>
      </w:r>
      <w:proofErr w:type="gramEnd"/>
      <w:r w:rsidRPr="000331A6">
        <w:t xml:space="preserve"> kế hoạch đầu tư công trung hạn, hàng năm.</w:t>
      </w:r>
      <w:r w:rsidR="00AB6841" w:rsidRPr="000331A6">
        <w:t xml:space="preserve"> Đồng thời, </w:t>
      </w:r>
      <w:r w:rsidRPr="000331A6">
        <w:t xml:space="preserve">các địa phương đã xây dựng phương </w:t>
      </w:r>
      <w:proofErr w:type="gramStart"/>
      <w:r w:rsidRPr="000331A6">
        <w:t>án</w:t>
      </w:r>
      <w:proofErr w:type="gramEnd"/>
      <w:r w:rsidRPr="000331A6">
        <w:t xml:space="preserve"> và </w:t>
      </w:r>
      <w:r w:rsidR="00734BC1" w:rsidRPr="000331A6">
        <w:t xml:space="preserve">bố trí vốn trong kế hoạch trung hạn và hàng năm để </w:t>
      </w:r>
      <w:r w:rsidRPr="000331A6">
        <w:t>xử lý</w:t>
      </w:r>
      <w:r w:rsidR="00734BC1" w:rsidRPr="000331A6">
        <w:t xml:space="preserve"> dần </w:t>
      </w:r>
      <w:r w:rsidRPr="000331A6">
        <w:t>nợ đọng</w:t>
      </w:r>
      <w:r w:rsidR="00734BC1" w:rsidRPr="000331A6">
        <w:t xml:space="preserve"> XDCB, phù hợp với khả năng cân đối NSĐP và yêu cầu thực hiện nhiệm vụ phát triển kinh tế - xã hội của địa phương</w:t>
      </w:r>
      <w:r w:rsidRPr="000331A6">
        <w:t>.</w:t>
      </w:r>
      <w:bookmarkStart w:id="79" w:name="_Toc62654354"/>
    </w:p>
    <w:p w:rsidR="00CA013E" w:rsidRPr="00CC5B58" w:rsidRDefault="0008064B" w:rsidP="00810273">
      <w:pPr>
        <w:pStyle w:val="Heading3"/>
      </w:pPr>
      <w:r w:rsidRPr="00CC5B58">
        <w:t xml:space="preserve">3.2. </w:t>
      </w:r>
      <w:bookmarkStart w:id="80" w:name="_Toc53064600"/>
      <w:r w:rsidRPr="00CC5B58">
        <w:t>Doanh nghiệp</w:t>
      </w:r>
      <w:r w:rsidR="007963C9" w:rsidRPr="00CC5B58">
        <w:t xml:space="preserve"> do </w:t>
      </w:r>
      <w:bookmarkEnd w:id="79"/>
      <w:bookmarkEnd w:id="80"/>
      <w:r w:rsidR="00D0087B" w:rsidRPr="00CC5B58">
        <w:t>nhà nước</w:t>
      </w:r>
      <w:r w:rsidR="007963C9" w:rsidRPr="00CC5B58">
        <w:t xml:space="preserve"> nắm giữ 50 - 100% vốn điều lệ</w:t>
      </w:r>
      <w:r w:rsidR="00D0087B" w:rsidRPr="00CC5B58">
        <w:t xml:space="preserve"> địa phương quản lý</w:t>
      </w:r>
    </w:p>
    <w:p w:rsidR="00F438D9" w:rsidRDefault="007963C9" w:rsidP="00810273">
      <w:r w:rsidRPr="00CC5B58">
        <w:t xml:space="preserve">Theo số liệu báo cáo </w:t>
      </w:r>
      <w:r w:rsidR="00775E20" w:rsidRPr="00CC5B58">
        <w:t>của các địa phương về kết quả hoạt động sản xuất, kinh doanh của các doanh nghiệp do nhà nước nắm giữ 50 – 100% vốn điều lệ</w:t>
      </w:r>
      <w:r w:rsidR="00842841" w:rsidRPr="00CC5B58">
        <w:t xml:space="preserve"> các năm gần đây</w:t>
      </w:r>
      <w:r w:rsidR="00775E20" w:rsidRPr="00CC5B58">
        <w:t>, các doanh nghiệp cơ bản c</w:t>
      </w:r>
      <w:r w:rsidR="00FE6748" w:rsidRPr="00CC5B58">
        <w:t xml:space="preserve">ác doanh nghiệp chấp hành đầy đủ các chính sách thuế, nộp thuế đầy đủ, không có nợ đọng thuế và nợ quá hạn, không có </w:t>
      </w:r>
      <w:r w:rsidR="00FE6748" w:rsidRPr="00CC5B58">
        <w:lastRenderedPageBreak/>
        <w:t>doanh nghiệp phải dùng biện pháp cưỡng chế thuế</w:t>
      </w:r>
      <w:r w:rsidR="00775E20" w:rsidRPr="00CC5B58">
        <w:t>. Mặt khác, sự phát triển của các doanh nghiệp chưa bền vững và có dấu hiệu suy giảm từ năm 2019, giảm đáng kể ở năm 2020 do ảnh hưởng của đại dịch Covid-19</w:t>
      </w:r>
      <w:r w:rsidR="00775E20" w:rsidRPr="00CC5B58">
        <w:rPr>
          <w:rStyle w:val="FootnoteReference"/>
          <w:b/>
          <w:lang w:val="nb-NO"/>
        </w:rPr>
        <w:footnoteReference w:id="45"/>
      </w:r>
      <w:r w:rsidR="00775E20" w:rsidRPr="00CC5B58">
        <w:t xml:space="preserve">; </w:t>
      </w:r>
      <w:r w:rsidR="00AF4D30" w:rsidRPr="00CC5B58">
        <w:t>t</w:t>
      </w:r>
      <w:r w:rsidR="00FE6748" w:rsidRPr="00CC5B58">
        <w:t>hu NSNN từ khu vực DNNN địa phương quản lý chủ yếu thu từ hoạt động xổ số chiế</w:t>
      </w:r>
      <w:r w:rsidR="009321FF" w:rsidRPr="00CC5B58">
        <w:t>m trên 5</w:t>
      </w:r>
      <w:r w:rsidR="00FE6748" w:rsidRPr="00CC5B58">
        <w:t>0% tổng thu của DNNN</w:t>
      </w:r>
      <w:r w:rsidR="00B92F58" w:rsidRPr="00CC5B58">
        <w:t>; nợ phải thu khó đòi của doanh nghiệp tăng nhanh trong khi việc bố trí dự phòng chưa đáp ứng được</w:t>
      </w:r>
      <w:r w:rsidR="00B92F58" w:rsidRPr="00CC5B58">
        <w:rPr>
          <w:rStyle w:val="FootnoteReference"/>
          <w:b/>
        </w:rPr>
        <w:footnoteReference w:id="46"/>
      </w:r>
      <w:r w:rsidR="00B92F58" w:rsidRPr="00CC5B58">
        <w:t>.</w:t>
      </w:r>
    </w:p>
    <w:p w:rsidR="00834E9C" w:rsidRDefault="003538E2" w:rsidP="00810273">
      <w:r w:rsidRPr="003538E2">
        <w:t>Mặ</w:t>
      </w:r>
      <w:r w:rsidR="00402701">
        <w:t>c dù</w:t>
      </w:r>
      <w:r w:rsidRPr="003538E2">
        <w:t xml:space="preserve"> gặp nhiều khó khăn trong năm 2020 do ảnh hưởng bởi các yếu tố bên ngoài như đại dịch Covid-19, nhưng các </w:t>
      </w:r>
      <w:r w:rsidR="00402701">
        <w:t>doanh nghiệp</w:t>
      </w:r>
      <w:r w:rsidRPr="003538E2">
        <w:t xml:space="preserve"> đã cùng Chính phủ, </w:t>
      </w:r>
      <w:r w:rsidR="00402701">
        <w:t>c</w:t>
      </w:r>
      <w:r w:rsidRPr="003538E2">
        <w:t xml:space="preserve">hính quyền địa phương phối hợp thực hiện các chính sách điều hành kinh tế </w:t>
      </w:r>
      <w:proofErr w:type="gramStart"/>
      <w:r w:rsidRPr="003538E2">
        <w:t>vĩ</w:t>
      </w:r>
      <w:proofErr w:type="gramEnd"/>
      <w:r w:rsidRPr="003538E2">
        <w:t xml:space="preserve"> mô, ổn định xã hội, ngăn chặn suy giảm kinh tế</w:t>
      </w:r>
      <w:r w:rsidR="00402701">
        <w:t>.</w:t>
      </w:r>
    </w:p>
    <w:p w:rsidR="008D05D2" w:rsidRDefault="00834E9C" w:rsidP="00810273">
      <w:pPr>
        <w:rPr>
          <w:lang w:val="nl-NL"/>
        </w:rPr>
      </w:pPr>
      <w:r w:rsidRPr="000331A6">
        <w:t xml:space="preserve">Trong </w:t>
      </w:r>
      <w:r w:rsidRPr="000331A6">
        <w:rPr>
          <w:lang w:val="vi-VN"/>
        </w:rPr>
        <w:t xml:space="preserve">giai đoạn </w:t>
      </w:r>
      <w:r w:rsidR="0026450F">
        <w:rPr>
          <w:lang w:val="vi-VN"/>
        </w:rPr>
        <w:t>2016 - 2020</w:t>
      </w:r>
      <w:r w:rsidRPr="000331A6">
        <w:rPr>
          <w:rStyle w:val="FootnoteReference"/>
          <w:b/>
          <w:lang w:val="vi-VN"/>
        </w:rPr>
        <w:footnoteReference w:id="47"/>
      </w:r>
      <w:r w:rsidRPr="000331A6">
        <w:rPr>
          <w:lang w:val="nl-NL"/>
        </w:rPr>
        <w:t xml:space="preserve">, đã có 180 doanh nghiệp được cấp có thẩm quyền phê duyệt phương án cổ phần hóa với tổng giá trị doanh nghiệp là </w:t>
      </w:r>
      <w:r w:rsidRPr="000331A6">
        <w:rPr>
          <w:b/>
          <w:lang w:val="nl-NL"/>
        </w:rPr>
        <w:t>489,69</w:t>
      </w:r>
      <w:r w:rsidRPr="000331A6">
        <w:rPr>
          <w:lang w:val="nl-NL"/>
        </w:rPr>
        <w:t xml:space="preserve"> nghìn tỷ đồng, </w:t>
      </w:r>
      <w:r w:rsidRPr="000331A6">
        <w:rPr>
          <w:lang w:val="vi-VN"/>
        </w:rPr>
        <w:t xml:space="preserve">trong đó giá trị vốn nhà nước là </w:t>
      </w:r>
      <w:r w:rsidRPr="000331A6">
        <w:rPr>
          <w:b/>
          <w:lang w:val="pl-PL"/>
        </w:rPr>
        <w:t>233,8</w:t>
      </w:r>
      <w:r w:rsidRPr="000331A6">
        <w:rPr>
          <w:lang w:val="pl-PL"/>
        </w:rPr>
        <w:t xml:space="preserve"> nghìn</w:t>
      </w:r>
      <w:r w:rsidRPr="000331A6">
        <w:rPr>
          <w:lang w:val="vi-VN"/>
        </w:rPr>
        <w:t xml:space="preserve"> tỷ đồng</w:t>
      </w:r>
      <w:r w:rsidRPr="000331A6">
        <w:rPr>
          <w:lang w:val="nl-NL"/>
        </w:rPr>
        <w:t xml:space="preserve">. Tổng giá trị thu về Quỹ Hỗ trợ sắp xếp và phát triển doanh nghiệp gấp </w:t>
      </w:r>
      <w:r w:rsidRPr="000331A6">
        <w:rPr>
          <w:b/>
          <w:lang w:val="nl-NL"/>
        </w:rPr>
        <w:t>1,6</w:t>
      </w:r>
      <w:r w:rsidRPr="000331A6">
        <w:rPr>
          <w:lang w:val="nl-NL"/>
        </w:rPr>
        <w:t xml:space="preserve"> lần so với giá bán. Đối với công tác thoái vốn, lũy </w:t>
      </w:r>
      <w:r w:rsidRPr="000331A6">
        <w:rPr>
          <w:lang w:val="vi-VN"/>
        </w:rPr>
        <w:t xml:space="preserve">kế giai đoạn </w:t>
      </w:r>
      <w:r w:rsidR="0026450F">
        <w:rPr>
          <w:lang w:val="vi-VN"/>
        </w:rPr>
        <w:t>2016 - 2020</w:t>
      </w:r>
      <w:r w:rsidRPr="000331A6">
        <w:rPr>
          <w:lang w:val="nl-NL"/>
        </w:rPr>
        <w:t xml:space="preserve"> đã thu về </w:t>
      </w:r>
      <w:r w:rsidRPr="000331A6">
        <w:rPr>
          <w:b/>
          <w:lang w:val="nl-NL"/>
        </w:rPr>
        <w:t>177,4</w:t>
      </w:r>
      <w:r w:rsidRPr="000331A6">
        <w:rPr>
          <w:lang w:val="nl-NL"/>
        </w:rPr>
        <w:t xml:space="preserve"> nghìn tỷ đồng, gấp </w:t>
      </w:r>
      <w:r w:rsidRPr="000331A6">
        <w:rPr>
          <w:b/>
          <w:lang w:val="nl-NL"/>
        </w:rPr>
        <w:t xml:space="preserve">6,5 </w:t>
      </w:r>
      <w:r w:rsidRPr="000331A6">
        <w:rPr>
          <w:lang w:val="nl-NL"/>
        </w:rPr>
        <w:t xml:space="preserve">lần giá trị sổ sách và cao hơn so với giai đoạn </w:t>
      </w:r>
      <w:r w:rsidR="00F2282D">
        <w:rPr>
          <w:lang w:val="nl-NL"/>
        </w:rPr>
        <w:t>2011 - 2015</w:t>
      </w:r>
      <w:r w:rsidRPr="000331A6">
        <w:rPr>
          <w:lang w:val="nl-NL"/>
        </w:rPr>
        <w:t xml:space="preserve"> cả về giá trị và hiệu quả thoái vốn. Vì liên quan đến nhiều vấn đề phức tạp như đất đai, tài nguyên, công sản..., tiến độ sắp xếp, cổ phần hóa doanh nghiệp nhà nước chưa đáp ứng được yêu cầu đề ra.</w:t>
      </w:r>
    </w:p>
    <w:p w:rsidR="00834E9C" w:rsidRDefault="00FE6748" w:rsidP="00810273">
      <w:proofErr w:type="gramStart"/>
      <w:r w:rsidRPr="000331A6">
        <w:t>Một số địa phương thực hiện cổ phần hóa, thoái vốn DNNN còn chậm so với kế hoạch được cấp có thẩm quyền phê duyệ</w:t>
      </w:r>
      <w:r w:rsidR="00B675AB" w:rsidRPr="000331A6">
        <w:t>t làm giả</w:t>
      </w:r>
      <w:r w:rsidRPr="000331A6">
        <w:t>m hiệu quả sản xuất kinh doanh, ảnh hưởng đến quá trình tái cơ cấu doanh nghiệp, nền kinh tế.</w:t>
      </w:r>
      <w:proofErr w:type="gramEnd"/>
    </w:p>
    <w:p w:rsidR="00834E9C" w:rsidRPr="003F124A" w:rsidRDefault="0008064B" w:rsidP="00810273">
      <w:pPr>
        <w:pStyle w:val="Heading3"/>
      </w:pPr>
      <w:r w:rsidRPr="003F124A">
        <w:t xml:space="preserve">3.3. </w:t>
      </w:r>
      <w:bookmarkStart w:id="81" w:name="_Toc53064601"/>
      <w:r w:rsidRPr="003F124A">
        <w:t>Đơn vị sự nghiệp công lập</w:t>
      </w:r>
      <w:bookmarkEnd w:id="81"/>
    </w:p>
    <w:p w:rsidR="00834E9C" w:rsidRDefault="001F3971" w:rsidP="00810273">
      <w:pPr>
        <w:rPr>
          <w:lang w:val="sv-SE"/>
        </w:rPr>
      </w:pPr>
      <w:r w:rsidRPr="000331A6">
        <w:rPr>
          <w:lang w:val="sv-SE"/>
        </w:rPr>
        <w:t xml:space="preserve">Thực hiện </w:t>
      </w:r>
      <w:r w:rsidR="005410C5" w:rsidRPr="000331A6">
        <w:rPr>
          <w:lang w:val="sv-SE"/>
        </w:rPr>
        <w:t xml:space="preserve">cơ chế tự chủ đối với đơn vị sự nghiệp công lập, </w:t>
      </w:r>
      <w:r w:rsidR="00603735">
        <w:rPr>
          <w:lang w:val="sv-SE"/>
        </w:rPr>
        <w:t xml:space="preserve">thí điểm </w:t>
      </w:r>
      <w:r w:rsidR="005410C5" w:rsidRPr="000331A6">
        <w:rPr>
          <w:lang w:val="sv-SE"/>
        </w:rPr>
        <w:t>chuyển đơn vị sự nghiệp công lập thành công ty cổ phần</w:t>
      </w:r>
      <w:r w:rsidR="005410C5" w:rsidRPr="000331A6">
        <w:rPr>
          <w:lang w:val="nl-NL"/>
        </w:rPr>
        <w:t>, chuyển đổi từ phí sang giá dịch vụ</w:t>
      </w:r>
      <w:r w:rsidR="00603735">
        <w:rPr>
          <w:lang w:val="nl-NL"/>
        </w:rPr>
        <w:t xml:space="preserve"> lĩnh vực</w:t>
      </w:r>
      <w:r w:rsidR="005410C5" w:rsidRPr="000331A6">
        <w:rPr>
          <w:lang w:val="nl-NL"/>
        </w:rPr>
        <w:t xml:space="preserve"> giáo dục</w:t>
      </w:r>
      <w:r w:rsidR="00EB6EFE">
        <w:rPr>
          <w:lang w:val="nl-NL"/>
        </w:rPr>
        <w:t xml:space="preserve"> </w:t>
      </w:r>
      <w:r w:rsidR="005410C5" w:rsidRPr="000331A6">
        <w:rPr>
          <w:lang w:val="nl-NL"/>
        </w:rPr>
        <w:t>-</w:t>
      </w:r>
      <w:r w:rsidR="00EB6EFE">
        <w:rPr>
          <w:lang w:val="nl-NL"/>
        </w:rPr>
        <w:t xml:space="preserve"> </w:t>
      </w:r>
      <w:r w:rsidR="005410C5" w:rsidRPr="000331A6">
        <w:rPr>
          <w:lang w:val="nl-NL"/>
        </w:rPr>
        <w:t>đào tạo, y tế là bước tiến quan trọng trong đổi mới cơ chế tài chính đơn vị sự nghiệp công lập trong các</w:t>
      </w:r>
      <w:r w:rsidR="005410C5" w:rsidRPr="000331A6">
        <w:rPr>
          <w:lang w:val="vi-VN"/>
        </w:rPr>
        <w:t xml:space="preserve"> </w:t>
      </w:r>
      <w:r w:rsidR="005410C5" w:rsidRPr="000331A6">
        <w:rPr>
          <w:lang w:val="nl-NL"/>
        </w:rPr>
        <w:t>lĩnh vực này, thu hút thêm</w:t>
      </w:r>
      <w:r w:rsidR="005410C5" w:rsidRPr="000331A6">
        <w:rPr>
          <w:lang w:val="vi-VN"/>
        </w:rPr>
        <w:t xml:space="preserve"> </w:t>
      </w:r>
      <w:r w:rsidR="005410C5" w:rsidRPr="000331A6">
        <w:rPr>
          <w:lang w:val="nl-NL"/>
        </w:rPr>
        <w:t>các nguồn lực đầu</w:t>
      </w:r>
      <w:r w:rsidR="005410C5" w:rsidRPr="000331A6">
        <w:rPr>
          <w:lang w:val="vi-VN"/>
        </w:rPr>
        <w:t xml:space="preserve"> tư </w:t>
      </w:r>
      <w:r w:rsidR="005410C5" w:rsidRPr="000331A6">
        <w:rPr>
          <w:lang w:val="nl-NL"/>
        </w:rPr>
        <w:t xml:space="preserve">xã hội. Đến năm </w:t>
      </w:r>
      <w:r w:rsidR="005410C5" w:rsidRPr="000331A6">
        <w:rPr>
          <w:lang w:val="pl-PL"/>
        </w:rPr>
        <w:t xml:space="preserve">2020, đã tổ chức sắp xếp lại các đơn vị sự nghiệp, giảm 11% so với năm 2015. Đồng thời, </w:t>
      </w:r>
      <w:r w:rsidR="00472A2E" w:rsidRPr="000331A6">
        <w:rPr>
          <w:lang w:val="pl-PL"/>
        </w:rPr>
        <w:t>đã thực hiện điều chỉnh việc bố trí NSNN cho các đơn vị sự nghiệp theo mức độ tự chủ, g</w:t>
      </w:r>
      <w:r w:rsidR="005410C5" w:rsidRPr="000331A6">
        <w:rPr>
          <w:lang w:val="nl-NL"/>
        </w:rPr>
        <w:t>iảm số lượng người làm việc trong các đơn vị sự nghiệp công lập hưởng lương từ NSNN (</w:t>
      </w:r>
      <w:r w:rsidR="005410C5" w:rsidRPr="000331A6">
        <w:rPr>
          <w:lang w:val="nb-NO"/>
        </w:rPr>
        <w:t xml:space="preserve">năm 2020 tại 63 địa </w:t>
      </w:r>
      <w:r w:rsidR="005410C5" w:rsidRPr="000331A6">
        <w:rPr>
          <w:lang w:val="nb-NO"/>
        </w:rPr>
        <w:lastRenderedPageBreak/>
        <w:t xml:space="preserve">phương giảm </w:t>
      </w:r>
      <w:r w:rsidR="005410C5" w:rsidRPr="000331A6">
        <w:rPr>
          <w:b/>
          <w:lang w:val="nb-NO"/>
        </w:rPr>
        <w:t>6,23%</w:t>
      </w:r>
      <w:r w:rsidR="005410C5" w:rsidRPr="000331A6">
        <w:rPr>
          <w:rStyle w:val="FootnoteReference"/>
          <w:b/>
          <w:lang w:val="nb-NO"/>
        </w:rPr>
        <w:footnoteReference w:id="48"/>
      </w:r>
      <w:r w:rsidRPr="000331A6">
        <w:rPr>
          <w:lang w:val="nl-NL"/>
        </w:rPr>
        <w:t xml:space="preserve"> s</w:t>
      </w:r>
      <w:r w:rsidRPr="000331A6">
        <w:rPr>
          <w:lang w:val="es-PR"/>
        </w:rPr>
        <w:t>o với năm 2015</w:t>
      </w:r>
      <w:r w:rsidR="005410C5" w:rsidRPr="000331A6">
        <w:rPr>
          <w:lang w:val="nb-NO"/>
        </w:rPr>
        <w:t>)</w:t>
      </w:r>
      <w:r w:rsidR="005410C5" w:rsidRPr="000331A6">
        <w:rPr>
          <w:lang w:val="nl-NL"/>
        </w:rPr>
        <w:t>, giảm chi bộ máy trên cơ sở các quy định về giảm biên chế hưởng lương từ NSNN và giảm chi hỗ trợ gắn với lộ trình điều chỉnh giá dịch vụ công. Nguồn lực dành ra dùng để tăng chi hỗ trợ các đối tượng chính sách, đảm bảo khả năng tiếp cận các dịch vụ cơ bản của các đối tượng này; tạo nguồn cải cách tiền lương, tăng chi đầu tư, mua sắm trang thiết bị cho chính các đơn vị này</w:t>
      </w:r>
      <w:r w:rsidR="00472A2E" w:rsidRPr="000331A6">
        <w:rPr>
          <w:lang w:val="pl-PL"/>
        </w:rPr>
        <w:t xml:space="preserve">, </w:t>
      </w:r>
      <w:r w:rsidR="00472A2E" w:rsidRPr="000331A6">
        <w:rPr>
          <w:lang w:val="it-IT"/>
        </w:rPr>
        <w:t xml:space="preserve">thúc đẩy việc sắp xếp lại các đơn vị sự nghiệp công theo hướng hiệu quả hơn, </w:t>
      </w:r>
      <w:r w:rsidR="00472A2E" w:rsidRPr="000331A6">
        <w:rPr>
          <w:lang w:val="sv-SE"/>
        </w:rPr>
        <w:t>tạo điều kiện xã hội hóa, tạo môi trường cạnh tranh, nâng cao chất lượng dịch vụ sự nghiệp công, góp phần cơ cấu lại chi ngân sách.</w:t>
      </w:r>
    </w:p>
    <w:p w:rsidR="00834E9C" w:rsidRDefault="0008064B" w:rsidP="00810273">
      <w:r w:rsidRPr="000331A6">
        <w:t xml:space="preserve">Các đơn vị sự nghiệp công lập thực hiện tự chủ, tự chịu trách nhiệm về tài chính đã đạt được một số kết quả đáng kể, thể hiện rõ nhất là tổng số thu đều đạt mức cao, các chỉ tiêu cơ bản đều hoàn thành; công tác quản lý và điều hành về tài chính được công khai, dân chủ, tạo sự chủ động trong điều hành thu, chi cũng như điều hành các hoạt động mang tính chuyên môn kỹ thuật chuyên ngành, điều đó khẳng định được tính hiệu quả, chuyển biến trong điều hành theo mục tiêu tinh gọn, năng động, các quyền lợi của người lao động như đóng BHXH, BHYT cơ bản được đảm bảo. Tình hình </w:t>
      </w:r>
      <w:proofErr w:type="gramStart"/>
      <w:r w:rsidRPr="000331A6">
        <w:t>thu</w:t>
      </w:r>
      <w:proofErr w:type="gramEnd"/>
      <w:r w:rsidRPr="000331A6">
        <w:t xml:space="preserve"> nhập của phần lớn người lao động trong các đơn vị sự nghiệp được giao quyền tự chủ, tự chịu trách nhiệm về tài chính được cải thiện so với trước đây.</w:t>
      </w:r>
      <w:r w:rsidR="00834E9C">
        <w:t xml:space="preserve"> </w:t>
      </w:r>
      <w:r w:rsidRPr="000331A6">
        <w:t>Các đơn vị đã rà soát các khoản chi, nội dung chi, mức chi, để xây dựng định mức chi phù hợp với đặc điểm của mỗi đơn vị, tạo điều kiện cho việc điều hành chi tiêu và chỉ đạo công tác chuyên môn của thủ trưởng đơn vị được chủ động, rõ ràng minh bạch.</w:t>
      </w:r>
      <w:r w:rsidR="002C0570" w:rsidRPr="000331A6">
        <w:t xml:space="preserve"> </w:t>
      </w:r>
      <w:r w:rsidRPr="000331A6">
        <w:t>Trong một số lĩnh vực đã mở rộng được loại hình dịch vụ, chủ động xây dựng giá thu các dịch vụ phụ trợ, tạo thêm nguồn thu để bổ sung cho kinh phí hoạt động, đồng thời cũng làm cho các đơn vị sự nghiệp có tính cạnh tranh, phục vụ tốt hơn.</w:t>
      </w:r>
    </w:p>
    <w:p w:rsidR="00834E9C" w:rsidRDefault="002C0570" w:rsidP="00810273">
      <w:r w:rsidRPr="000331A6">
        <w:rPr>
          <w:lang w:val="nl-NL"/>
        </w:rPr>
        <w:t xml:space="preserve">Thực hiện thí điểm cổ phần hóa 20 đơn vị sự nghiệp công lập đủ điều kiện. Năm 2018, tổng thu sự nghiệp của các đơn vị sự nghiệp công lập trên cả nước đạt xấp xỉ </w:t>
      </w:r>
      <w:r w:rsidRPr="000331A6">
        <w:rPr>
          <w:b/>
          <w:lang w:val="nl-NL"/>
        </w:rPr>
        <w:t>42%</w:t>
      </w:r>
      <w:r w:rsidRPr="000331A6">
        <w:rPr>
          <w:lang w:val="nl-NL"/>
        </w:rPr>
        <w:t xml:space="preserve"> tổng chi ngân sách các lĩnh vực sự nghiệp (trừ an ninh, quốc phòng); Thu sự nghiệp trong lĩnh vực y tế chiếm tỷ trọng lớn nhất trên </w:t>
      </w:r>
      <w:r w:rsidRPr="000331A6">
        <w:rPr>
          <w:b/>
          <w:lang w:val="nl-NL"/>
        </w:rPr>
        <w:t>52%</w:t>
      </w:r>
      <w:r w:rsidRPr="000331A6">
        <w:rPr>
          <w:lang w:val="nl-NL"/>
        </w:rPr>
        <w:t xml:space="preserve">, tiếp đến là lĩnh vực kinh tế chiếm </w:t>
      </w:r>
      <w:r w:rsidRPr="000331A6">
        <w:rPr>
          <w:b/>
          <w:lang w:val="nl-NL"/>
        </w:rPr>
        <w:t>25%</w:t>
      </w:r>
      <w:r w:rsidRPr="000331A6">
        <w:rPr>
          <w:lang w:val="nl-NL"/>
        </w:rPr>
        <w:t xml:space="preserve"> và giáo dục đào tạo, chiếm </w:t>
      </w:r>
      <w:r w:rsidRPr="000331A6">
        <w:rPr>
          <w:b/>
          <w:lang w:val="nl-NL"/>
        </w:rPr>
        <w:t>18%</w:t>
      </w:r>
      <w:r w:rsidRPr="000331A6">
        <w:rPr>
          <w:lang w:val="nl-NL"/>
        </w:rPr>
        <w:t xml:space="preserve">. </w:t>
      </w:r>
      <w:r w:rsidR="0008064B" w:rsidRPr="000331A6">
        <w:t xml:space="preserve">Với tình hình hoạt động và kết quả đạt được của các đơn vị sự nghiệp công lập thì cơ bản </w:t>
      </w:r>
      <w:r w:rsidR="00C530DA" w:rsidRPr="0005617E">
        <w:t xml:space="preserve">chưa có </w:t>
      </w:r>
      <w:r w:rsidR="0008064B" w:rsidRPr="0005617E">
        <w:t>tác động</w:t>
      </w:r>
      <w:r w:rsidR="00C530DA" w:rsidRPr="0005617E">
        <w:t xml:space="preserve"> đáng kể</w:t>
      </w:r>
      <w:r w:rsidR="0008064B" w:rsidRPr="000331A6">
        <w:t xml:space="preserve"> đến tài khóa </w:t>
      </w:r>
      <w:r w:rsidR="00C530DA">
        <w:t>NSĐP</w:t>
      </w:r>
      <w:r w:rsidR="0008064B" w:rsidRPr="000331A6">
        <w:t>.</w:t>
      </w:r>
    </w:p>
    <w:p w:rsidR="00446FF5" w:rsidRDefault="0008064B" w:rsidP="00810273">
      <w:pPr>
        <w:pStyle w:val="Heading3"/>
      </w:pPr>
      <w:r w:rsidRPr="003F124A">
        <w:t xml:space="preserve">3.4. </w:t>
      </w:r>
      <w:bookmarkStart w:id="82" w:name="_Toc53064602"/>
      <w:r w:rsidRPr="003F124A">
        <w:t>Quỹ tài chính</w:t>
      </w:r>
      <w:r w:rsidR="00446FF5">
        <w:t xml:space="preserve"> nhà nước</w:t>
      </w:r>
      <w:r w:rsidRPr="003F124A">
        <w:t xml:space="preserve"> ngoài ngân sách</w:t>
      </w:r>
      <w:r w:rsidR="00E47D8C">
        <w:t xml:space="preserve"> nhà nước do</w:t>
      </w:r>
      <w:r w:rsidRPr="003F124A">
        <w:t xml:space="preserve"> địa phương </w:t>
      </w:r>
      <w:bookmarkEnd w:id="82"/>
      <w:r w:rsidR="00E47D8C">
        <w:t>quản lý</w:t>
      </w:r>
    </w:p>
    <w:p w:rsidR="00E74B66" w:rsidRDefault="00446FF5" w:rsidP="00810273">
      <w:r w:rsidRPr="00446FF5">
        <w:t xml:space="preserve">a) Đánh giá </w:t>
      </w:r>
      <w:proofErr w:type="gramStart"/>
      <w:r w:rsidRPr="00446FF5">
        <w:t>chung</w:t>
      </w:r>
      <w:proofErr w:type="gramEnd"/>
      <w:r w:rsidRPr="00446FF5">
        <w:t>:</w:t>
      </w:r>
    </w:p>
    <w:p w:rsidR="003B5A45" w:rsidRPr="001D39AF" w:rsidRDefault="00446FF5" w:rsidP="00810273">
      <w:r w:rsidRPr="00446FF5">
        <w:t xml:space="preserve">Các Quỹ tài chính ngoài NSNN (chủ yếu là Quỹ đầu tư phát triển) được thành lập với quy mô, tính chất và phạm vi hoạt động khá đa dạng, cơ bản phù hợp theo các quy định hiện hành và tình hình thực tế tại địa phương, tuân thủ các quy định của pháp luật về mục tiêu, phạm vi và các lĩnh vực hoạt động; bảo toàn và phát triển được nguồn vốn do NSNN cấp, không xảy ra nợ xấu, có doanh thu từ hoạt động để bổ sung và phát triển nguồn vốn nhằm thực hiện một số mục tiêu đề </w:t>
      </w:r>
      <w:r w:rsidRPr="00446FF5">
        <w:lastRenderedPageBreak/>
        <w:t xml:space="preserve">ra; </w:t>
      </w:r>
      <w:r w:rsidRPr="00446FF5">
        <w:rPr>
          <w:lang w:val="it-IT"/>
        </w:rPr>
        <w:t>Hoạt động của các quỹ tài chính ngoài NSNN trong thời gian qua đã góp phần thu hút các nguồn lực xã hội để thực hiện các mục tiêu, nhiệm vụ phát triển kinh tế - xã hội và đảm bảo an sinh xã hội theo chủ trương, chính sách của Đảng và Nhà nước. Các Quỹ hỗ trợ phát triển kinh tế, thúc đẩy sáng tạo và ứng dụng khoa học công nghệ vào sản xuất</w:t>
      </w:r>
      <w:r w:rsidRPr="00446FF5">
        <w:rPr>
          <w:b/>
          <w:vertAlign w:val="superscript"/>
        </w:rPr>
        <w:footnoteReference w:id="49"/>
      </w:r>
      <w:r w:rsidRPr="00446FF5">
        <w:rPr>
          <w:lang w:val="it-IT"/>
        </w:rPr>
        <w:t xml:space="preserve"> đã hỗ trợ hoạt động sản xuất - kinh doanh các doanh nghiệp nhỏ và vừa, doanh nghiệp khởi nghiệp...; tham gia cho vay, đầu tư trực tiếp các dự án cơ sở hạ tầng của địa phương.</w:t>
      </w:r>
      <w:r w:rsidRPr="00446FF5">
        <w:t xml:space="preserve"> </w:t>
      </w:r>
      <w:r w:rsidRPr="001D39AF">
        <w:t>Tuy nhiên, trong quá trình hoạt động thực tế còn một số bất cập, hạn chế như sau:</w:t>
      </w:r>
    </w:p>
    <w:p w:rsidR="00D55DE2" w:rsidRPr="001D39AF" w:rsidRDefault="00446FF5" w:rsidP="00810273">
      <w:pPr>
        <w:rPr>
          <w:lang w:val="es-ES_tradnl"/>
        </w:rPr>
      </w:pPr>
      <w:r w:rsidRPr="001D39AF">
        <w:rPr>
          <w:lang w:val="es-ES_tradnl"/>
        </w:rPr>
        <w:t>- Việc huy động vốn của một số quỹ tài chính nhà nước ngoài NSNN còn hạn chế, chủ yếu vẫn là từ NSNN. Thực tế thời gian qua số lượng các quỹ tài chính nhà nước ngoài ngân sách tăng nhanh; đồng thời có xu hướng khi trình Quốc hội ban hành các Luật quản lý chuyên ngành đều kèm theo các quy định về thành lập các quỹ tài chính nhà nước (như: Luật giao thông đường bộ; Luật hợp tác xã; Luật khoa học và công nghệ; Luật bảo vệ môi trường....). Mặc dù nguyên tắc tự bảo toàn vốn được đặt ra khi quyết định thành lập, nhưng nhìn chung, ngoài các quỹ tài chính có hình thức huy động, đóng góp của các tổ chức, cá nhân trong, ngoài nước và các đối tượng hưởng lợi, thì nhiều quỹ tài chính nhà nước nguồn vốn chủ yếu là từ ngân sách nhà nước (được ngân sách nhà nước cấp vốn điều lệ và hỗ trợ trong quá trình hoạt động), nguồn huy động ngoài ngân sách rất hạn chế (như: Quỹ Hỗ trợ phát triển khoa học công nghệ; Quỹ Bảo vệ môi trường; Quỹ Hỗ trợ phát triển hợp tác xã...). Do đó, việc thành lập và duy trì nhiều quỹ tài chính nhà nước mà nguồn cân đối chủ yếu là từ ngân sách nhà nước sẽ dẫn đến tình trạng phân tán nguồn lực của ngân sách nhà nước. Các địa phương khó khăn, nguồn thu ngân sách thấp, phần lớn nhu cầu chi dựa vào nguồn ngân sách trung ương bổ sung nên việc bố trí vốn điều lệ từ ngân sách địa phương cho các quỹ còn ở mức thấp. Đối với các Quỹ có cơ chế huy động đóng góp, tài trợ, hỗ trợ của các tổ chức, cá nhân trong và ngoài nước,… do điều kiện một số địa phương khó khăn, nhất là các địa phương miền núi, đời sống của người dân còn gặp nhiều khó khăn, việc huy động vốn đóng góp của người dân bên cạnh việc đảm bảo đúng các quy định của pháp luật còn phải phù hợp với khả năng đóng góp của người dân, nên mức huy động cho các quỹ thường ở mức thấp, đối tượng được miễn, giảm lại nhiều, dẫn đến hầu hết các quỹ chưa đủ nguồn lực để đáp ứng các nhiệm vụ chi theo yêu cầu và mục đích hoạt động của Quỹ</w:t>
      </w:r>
      <w:r w:rsidR="005D54CE" w:rsidRPr="001D39AF">
        <w:rPr>
          <w:lang w:val="es-ES_tradnl"/>
        </w:rPr>
        <w:t>.</w:t>
      </w:r>
    </w:p>
    <w:p w:rsidR="001E528E" w:rsidRPr="001D39AF" w:rsidRDefault="00446FF5" w:rsidP="00810273">
      <w:pPr>
        <w:rPr>
          <w:lang w:val="es-ES_tradnl"/>
        </w:rPr>
      </w:pPr>
      <w:r w:rsidRPr="001D39AF">
        <w:rPr>
          <w:lang w:val="es-ES_tradnl"/>
        </w:rPr>
        <w:t xml:space="preserve">- Một số quỹ tài chính nhà nước ngoài NSNN có nguồn thu, nhiệm vụ trùng lặp nguồn thu, nhiệm vụ chi với NSNN, dẫn đến nguồn thu lẽ ra phải được tập trung vào NSNN lại thu vào quỹ tài chính, hoặc nguồn chi NSNN bị phân tán (như: Quỹ Bảo vệ môi trường được bổ sung từ phí bảo vệ môi trường; Quỹ Phát triển đất có nhiệm vụ thu hồi kinh phí giải phóng mặt bằng đã ứng trước cho các tổ chức, doanh nghiệp từ nguồn NSNN cấp; Quỹ Hỗ trợ phát triển khoa học - công nghệ có nhiệm vụ chi trùng với nhiệm vụ chi sự nghiệp khoa học - công nghệ của NSNN). Việc lập kế hoạch và chi tiêu của các quỹ không theo trình tự về quản lý </w:t>
      </w:r>
      <w:r w:rsidRPr="001D39AF">
        <w:rPr>
          <w:lang w:val="es-ES_tradnl"/>
        </w:rPr>
        <w:lastRenderedPageBreak/>
        <w:t xml:space="preserve">vốn đầu tư, trong khi bản chất các khoản chi có tính chất là chi đầu tư cho sự nghiệp giao thông, môi trường,… </w:t>
      </w:r>
    </w:p>
    <w:p w:rsidR="00C81A1B" w:rsidRPr="001D39AF" w:rsidRDefault="00446FF5" w:rsidP="00810273">
      <w:pPr>
        <w:rPr>
          <w:lang w:val="nl-NL"/>
        </w:rPr>
      </w:pPr>
      <w:r w:rsidRPr="001D39AF">
        <w:rPr>
          <w:lang w:val="es-ES_tradnl"/>
        </w:rPr>
        <w:t xml:space="preserve">- Các quỹ tài chính nhà nước ngoài NSNN được thành lập và hoạt động theo quy định của pháp luật, nhưng việc thành lập các quỹ trên cơ sở các văn bản quy phạm pháp luật (Luật, Nghị định, Quyết định, Thông tư,…) do nhiều cơ quan ban hành (Quốc hội, Ủy ban Thường vụ Quốc hội, Chính phủ, Thủ tướng Chính phủ và các Bộ, ngành, địa phương), dẫn đến có nhiều quỹ và khó tránh được trùng lặp, chồng chéo về mục tiêu, nhiệm vụ, nguồn thu và đối tượng thụ hưởng </w:t>
      </w:r>
      <w:r w:rsidRPr="001D39AF">
        <w:rPr>
          <w:lang w:val="nl-NL"/>
        </w:rPr>
        <w:t xml:space="preserve">(như: Quỹ Khuyến nông có đối </w:t>
      </w:r>
      <w:r w:rsidRPr="001D39AF">
        <w:rPr>
          <w:lang w:val="es-ES_tradnl"/>
        </w:rPr>
        <w:t>tượng</w:t>
      </w:r>
      <w:r w:rsidRPr="001D39AF">
        <w:rPr>
          <w:lang w:val="nl-NL"/>
        </w:rPr>
        <w:t xml:space="preserve"> vay vốn hỗ trợ trùng với Quỹ Hỗ trợ nông dân, Quỹ Hỗ trợ phát triển hợp tác xã), làm cho nguồn lực chồng chéo, khó theo dõi, quản lý.</w:t>
      </w:r>
    </w:p>
    <w:p w:rsidR="001E528E" w:rsidRPr="001D39AF" w:rsidRDefault="00446FF5" w:rsidP="00810273">
      <w:pPr>
        <w:rPr>
          <w:lang w:val="es-ES_tradnl"/>
        </w:rPr>
      </w:pPr>
      <w:r w:rsidRPr="001D39AF">
        <w:rPr>
          <w:lang w:val="es-ES_tradnl"/>
        </w:rPr>
        <w:t>- Việc thành lập một số quỹ được hướng dẫn tại các văn bản quy phạm pháp luật đã hết hiệu lực (như Quỹ Phát triển đất), gây khó khăn cho các địa phương có nhu cầu thành lập quỹ.</w:t>
      </w:r>
    </w:p>
    <w:p w:rsidR="00446FF5" w:rsidRPr="001D39AF" w:rsidRDefault="00446FF5" w:rsidP="00810273">
      <w:pPr>
        <w:pStyle w:val="norm"/>
        <w:ind w:firstLine="720"/>
      </w:pPr>
      <w:r w:rsidRPr="001D39AF">
        <w:t xml:space="preserve">- Hiện nay, chưa có khái niệm rõ ràng về </w:t>
      </w:r>
      <w:r w:rsidRPr="001D39AF">
        <w:rPr>
          <w:i/>
        </w:rPr>
        <w:t>“quỹ tài chính nhà nước ngoài ngân sách nhà nước”</w:t>
      </w:r>
      <w:r w:rsidRPr="001D39AF">
        <w:t xml:space="preserve"> để phân biệt với các quỹ xã hội, từ thiện (tổ chức hoạt động theo theo quy định tại Nghị định số 30/2012/NĐ-CP ngày 12/04/2012 và Nghị định số 93/2019/NĐ-CP ngày 25/11/2019 của Chính phủ).</w:t>
      </w:r>
    </w:p>
    <w:p w:rsidR="00446FF5" w:rsidRPr="001D39AF" w:rsidRDefault="00446FF5" w:rsidP="00810273">
      <w:pPr>
        <w:pStyle w:val="norm"/>
        <w:ind w:firstLine="720"/>
      </w:pPr>
      <w:r w:rsidRPr="001D39AF">
        <w:t>- Việc kiểm soát đối với các quỹ tài chính nhà nước ngoài ngân sách còn hạn chế. Nhìn chung công tác tổng hợp, báo cáo, đánh giá, giám sát chung đối với hoạt động của các quỹ tài chính nhà nước của các cơ quan quản lý nhà nước chưa thường xuyên; việc giám sát của các cơ quan quyền lực (Quốc hội, Hội đồng nhân dân) và cơ quan kiểm toán đối với hoạt động của các quỹ tài chính nhà nước thời gian qua cũng còn hạn chế.</w:t>
      </w:r>
    </w:p>
    <w:p w:rsidR="00446FF5" w:rsidRPr="001D39AF" w:rsidRDefault="00446FF5" w:rsidP="00810273">
      <w:pPr>
        <w:rPr>
          <w:lang w:val="it-IT"/>
        </w:rPr>
      </w:pPr>
      <w:r w:rsidRPr="001D39AF">
        <w:rPr>
          <w:lang w:val="it-IT"/>
        </w:rPr>
        <w:t>Thực hiện quy định của Luật NSNN và chỉ đạo của Thủ tướng Chính phủ tại Chỉ thị số 22/CT-TTg ngày 27/8/2015 về tăng cường công tác quản lý đối với các quỹ tài chính nhà nước ngoài NSNN, các bộ, cơ quan trung ương và địa phương đã thực hiện rà soát, đánh giá hiệu quả hoạt động, trên cơ sở đó sắp xếp lại hoặc giải thể các quỹ không hiệu quả hoặc có nguồn thu, nhiệm vụ chi trùng với NSNN, các địa phương đã chủ động sáp nhập các quỹ có cùng tính nhất hoạt động để thu hẹp đầu mối</w:t>
      </w:r>
      <w:r w:rsidRPr="001D39AF">
        <w:rPr>
          <w:rStyle w:val="FootnoteReference"/>
          <w:b/>
        </w:rPr>
        <w:footnoteReference w:id="50"/>
      </w:r>
      <w:r w:rsidRPr="001D39AF">
        <w:rPr>
          <w:lang w:val="it-IT"/>
        </w:rPr>
        <w:t>.</w:t>
      </w:r>
    </w:p>
    <w:p w:rsidR="00834E9C" w:rsidRPr="001D39AF" w:rsidRDefault="0008064B" w:rsidP="00810273">
      <w:r w:rsidRPr="001D39AF">
        <w:t xml:space="preserve">b) Quỹ đầu tư phát triển địa phương </w:t>
      </w:r>
    </w:p>
    <w:p w:rsidR="00446FF5" w:rsidRPr="001D39AF" w:rsidRDefault="00446FF5" w:rsidP="00810273">
      <w:r w:rsidRPr="001D39AF">
        <w:t>Trước đây, Quỹ Đầu tư phát triển địa phương hoạt động trên cơ sở các văn bản quy phạm pháp luật là Nghị định số 138/2007/NĐ-CP ngày 28/08/2007 của Chính phủ về tổ chức và hoạt động của Quỹ đầu tư phát triển địa phương và Nghị định 37/2013/NĐ-CP ngày 22/04/2013 về sửa đổi, bổ sung một số điều của Nghị định 138/2007/NĐ-CP. Theo đó, khi triển khai thực hiện theo các quy định tại 02 Nghị định nêu trên, Quỹ Đầu tư phát triển địa phương gặp phải một số khó khăn vướng mắc như sau:</w:t>
      </w:r>
    </w:p>
    <w:p w:rsidR="00446FF5" w:rsidRPr="001D39AF" w:rsidRDefault="00446FF5" w:rsidP="00810273">
      <w:r w:rsidRPr="001D39AF">
        <w:lastRenderedPageBreak/>
        <w:t xml:space="preserve">- Quỹ là tổ chức tài chính nhà nước địa phương, do UBND cấp tỉnh phê duyệt tổ chức bộ máy. Từ quy định này, mỗi địa phương vận dụng xác định địa vị pháp lý, vai trò, cũng như bộ máy tổ chức của Quỹ một cách khách nhau, dẫn đến có sự khác biệt giữa các Quỹ địa phương trong việc xác định địa vị pháp lý và tổ chức bộ máy. </w:t>
      </w:r>
    </w:p>
    <w:p w:rsidR="00446FF5" w:rsidRPr="001D39AF" w:rsidRDefault="00446FF5" w:rsidP="00810273">
      <w:r w:rsidRPr="001D39AF">
        <w:t>- Quỹ đang cho vay đầu tư, đầu tư trực tiếp, góp vốn theo các danh mục các lĩnh vực đầu tư kết cấu hạ tầng kinh tế xã hội ưu tiên phát triển của địa phương do UBND cấp tỉnh ban hành theo quy định tại Nghị định số 37/2013/NĐ-CP. Trong quá trình thực hiện, một số đối tượng, lĩnh vực đầu tư mặc dù không nằm trong lĩnh vực này nhưng lại cần thiết với nhu cầu đầu tư của địa phương nhưng Quỹ không thể tham gia đầu tư hoặc góp vốn do không thuộc đối tượng trong danh mục.</w:t>
      </w:r>
    </w:p>
    <w:p w:rsidR="00446FF5" w:rsidRPr="001D39AF" w:rsidRDefault="00446FF5" w:rsidP="00810273">
      <w:r w:rsidRPr="001D39AF">
        <w:t xml:space="preserve">- Nghị định 138/2007/NĐ-CP cho phép Quỹ Đầu tư phát triển địa phương được huy động vốn dưới hình thức trái phiếu, vay vốn các tổ chức tài chính, tín dụng trong và ngoài nước; việc vay vốn nước ngoài thực hiện theo quy định về vay nợ nước ngoài. Tuy nhiên, </w:t>
      </w:r>
      <w:proofErr w:type="gramStart"/>
      <w:r w:rsidRPr="001D39AF">
        <w:t>theo</w:t>
      </w:r>
      <w:proofErr w:type="gramEnd"/>
      <w:r w:rsidRPr="001D39AF">
        <w:t xml:space="preserve"> Luật Quản lý nợ công thì Quỹ không thuộc đối tượng vay vốn ODA, vay ưu đãi thông qua Chính phủ Việt Nam. Đối với nguồn vốn huy động cá nhân, tổ chức và phát hành trái phiếu thì Quỹ Đầu tư phát triển địa phương không triển khai được do không có tiềm lực tài chính và thương hiệu trên thị trường, cũng như chưa có khung pháp lý về việc phát hành trái phiếu.</w:t>
      </w:r>
    </w:p>
    <w:p w:rsidR="00446FF5" w:rsidRPr="00D07744" w:rsidRDefault="00446FF5" w:rsidP="00810273">
      <w:pPr>
        <w:rPr>
          <w:lang w:val="sv-SE"/>
        </w:rPr>
      </w:pPr>
      <w:r w:rsidRPr="001D39AF">
        <w:rPr>
          <w:lang w:val="sv-SE"/>
        </w:rPr>
        <w:t>Chính phủ đã ban hành Nghị định số 147/2020/NĐ-CP ngày 18/12/2020 quy định về tổ chức và hoạt động của quỹ đầu tư phát triển địa phương, đồng thời Bộ Tài chính đã ban hành Thông tư số 86/2021/TT-BTC ngày 06/10/2021 hướng dẫn thi hành một số điều của Nghị định số 147/2020/NĐ-CP nhằm hoàn thiện khung pháp lý về hoạt động của hệ thống quỹ, đồng bộ với các quy định hiện hành, nâng cao yêu cầu về nguồn lực, hiệu quả hoạt động của các quỹ và tăng cường cơ chế quản lý, giám sát và đánh giá hiệu quả hoạt động đối với các quỹ đầu tư phát triển địa phương. Theo đó, các quy định mới tại Nghị định này đã khắc phục hạn chế trong hoạt động của hệ thống quỹ đầu tư phát triển địa phương như: (i) tăng quy mô vốn điều lệ từ 100 tỷ đồng lên 300 tỷ đồng để phù hợp với nhu cầu đầu tư các dự án cơ sở hạ tầng; (ii) bổ sung quy định và tạo điều kiện cho công tác huy động vốn của các quỹ thay vì chỉ dựa vào vốn điều lệ do ngân sách địa phương cấp như phát hành trái phiếu của quỹ; (iii) bổ sung quy định giao UBND xác định và quyết định danh mục lĩnh vực được quỹ đầu tư phát triển địa phương cho vay đầu tư; (iv) hoàn thiện cơ chế quản lý giám sát thông qua quy định về đánh giá hiệu quả hoạt động, xếp loại hoạt động, bổ sung quy định về việc giải thể đối với các quỹ hoạt động không hiệu quả và cụ thể trách nhiệm giám sát hoạt động cho vay, đầu tư của UBND cấp tỉnh.</w:t>
      </w:r>
    </w:p>
    <w:p w:rsidR="00446FF5" w:rsidRPr="003F124A" w:rsidRDefault="00446FF5" w:rsidP="00810273">
      <w:bookmarkStart w:id="83" w:name="_Toc62654356"/>
      <w:r>
        <w:t>c</w:t>
      </w:r>
      <w:r w:rsidRPr="003F124A">
        <w:t xml:space="preserve">) Công ty Đầu tư Tài chính nhà nước </w:t>
      </w:r>
      <w:r>
        <w:t xml:space="preserve">TP. </w:t>
      </w:r>
      <w:r w:rsidR="00E66C67">
        <w:t>HCM</w:t>
      </w:r>
      <w:r w:rsidRPr="003F124A">
        <w:t xml:space="preserve"> (HFIC)</w:t>
      </w:r>
    </w:p>
    <w:p w:rsidR="00446FF5" w:rsidRDefault="00446FF5" w:rsidP="00810273">
      <w:r w:rsidRPr="000331A6">
        <w:t>HFIC thành lập theo Quyết định số 576/QĐ-UBND ngày 02/02/2010</w:t>
      </w:r>
      <w:r w:rsidR="00AD6AD0">
        <w:t xml:space="preserve"> của UBND TP. </w:t>
      </w:r>
      <w:r w:rsidR="00E66C67">
        <w:t>HCM</w:t>
      </w:r>
      <w:r w:rsidRPr="000331A6">
        <w:t xml:space="preserve">, trên cơ sở kế thừa và phát huy hoạt động của Quỹ Đầu tư Phát triển Đô thị </w:t>
      </w:r>
      <w:r w:rsidR="00AD6AD0">
        <w:t xml:space="preserve">TP. </w:t>
      </w:r>
      <w:r w:rsidR="00E66C67">
        <w:t>HCM</w:t>
      </w:r>
      <w:r w:rsidRPr="000331A6">
        <w:t xml:space="preserve"> (HIFU) đã thực hiện tốt vai trò là một công cụ tài chính hữu ích của </w:t>
      </w:r>
      <w:r w:rsidR="00AD6AD0">
        <w:t xml:space="preserve">TP. </w:t>
      </w:r>
      <w:r w:rsidR="00E66C67">
        <w:t>HCM</w:t>
      </w:r>
      <w:r w:rsidRPr="000331A6">
        <w:t xml:space="preserve"> trong việc huy động vốn, đầu tư phát triển kết cấu hạ tầng kỹ </w:t>
      </w:r>
      <w:r w:rsidRPr="000331A6">
        <w:lastRenderedPageBreak/>
        <w:t>thuật đô thị.</w:t>
      </w:r>
    </w:p>
    <w:p w:rsidR="00446FF5" w:rsidRDefault="00446FF5" w:rsidP="00810273">
      <w:r w:rsidRPr="000331A6">
        <w:t xml:space="preserve">Theo báo cáo thường niên của HFIC kết quả thực hiện kế hoạch sản xuất kinh doanh 03 năm gần nhất giai đoạn 2017-2019, HFIC đã tăng cường tìm kiếm, đàm phán thu hút các nguồn vốn huy động từ các tổ chức tài chính trong và ngoài nước với chi phí thấp, nhằm duy trì mặt bằng lãi suất cho vay thấp và ổn định đối với các lĩnh vực ưu tiên, lựa chọn các dự án cho vay an toàn, hiệu quả, kiểm soát chặt chẽ chất lượng tín dụng. Tổng giá trị giải ngân giai đoạn 2017-2019 là 2,807 nghìn tỷ đồng, HFIC đã cam kết tài trợ tín dụng cho </w:t>
      </w:r>
      <w:r w:rsidRPr="000331A6">
        <w:rPr>
          <w:b/>
        </w:rPr>
        <w:t>56</w:t>
      </w:r>
      <w:r w:rsidRPr="000331A6">
        <w:t xml:space="preserve"> dự án với tổng mức đầu tư là </w:t>
      </w:r>
      <w:r w:rsidRPr="000331A6">
        <w:rPr>
          <w:b/>
        </w:rPr>
        <w:t>11,733</w:t>
      </w:r>
      <w:r w:rsidRPr="000331A6">
        <w:t xml:space="preserve"> nghìn tỷ đồng, hạn mức HFIC cam kết cho vay là </w:t>
      </w:r>
      <w:r w:rsidRPr="000331A6">
        <w:rPr>
          <w:b/>
        </w:rPr>
        <w:t>5,6</w:t>
      </w:r>
      <w:r w:rsidRPr="000331A6">
        <w:t xml:space="preserve"> nghìn tỷ đồng, giảm </w:t>
      </w:r>
      <w:r w:rsidRPr="000331A6">
        <w:rPr>
          <w:b/>
        </w:rPr>
        <w:t>0,3</w:t>
      </w:r>
      <w:r w:rsidRPr="000331A6">
        <w:t xml:space="preserve"> nghìn tỷ đồng so với giai đoạn trước</w:t>
      </w:r>
      <w:r w:rsidRPr="00EB60AE">
        <w:rPr>
          <w:rStyle w:val="FootnoteReference"/>
          <w:b/>
        </w:rPr>
        <w:footnoteReference w:id="51"/>
      </w:r>
      <w:r w:rsidRPr="000331A6">
        <w:t>, tập trung vào các dự án thuộc lĩnh vực đầu tư kết cấu hạ tầng kinh tế - xã hội của Thành phố, các chương trình, nhiệm vụ đột phá, trọng điểm, ưu tiên đầu tư của Thành phố; Công ty tăng cường kiểm tra, giám sát việc sử dụng vốn trước, trong và sau giải ngân, thực hiện giám sát chặt chẽ các khoản nợ xấu có thể phát sinh.</w:t>
      </w:r>
    </w:p>
    <w:p w:rsidR="00446FF5" w:rsidRDefault="00446FF5" w:rsidP="00810273">
      <w:r w:rsidRPr="000331A6">
        <w:t>HFIC đã tổ chức quản lý và hoàn tất quá trình cổ phần hóa, chính thức chuyển sang mô hình hoạt động theo mô hình công ty cổ phần 06/08 doanh nghiệp</w:t>
      </w:r>
      <w:r w:rsidRPr="00EB60AE">
        <w:rPr>
          <w:rStyle w:val="FootnoteReference"/>
          <w:b/>
        </w:rPr>
        <w:footnoteReference w:id="52"/>
      </w:r>
      <w:r w:rsidRPr="000331A6">
        <w:t xml:space="preserve">, đang phối hợp với các sở ban ngành triển khai công tác cổ phần hóa Công ty TNHH MTV Quản lý kinh doanh nhà </w:t>
      </w:r>
      <w:r>
        <w:t>TP. H</w:t>
      </w:r>
      <w:r w:rsidRPr="000331A6">
        <w:t xml:space="preserve">CM, còn lại 01 doanh nghiệp không thuộc diện cổ phần hóa là Công ty TNHH MTV XSKT </w:t>
      </w:r>
      <w:r>
        <w:t>TP. H</w:t>
      </w:r>
      <w:r w:rsidRPr="000331A6">
        <w:t>CM. Tổng giá trị vốn nhà nước sau khi cổ phần hóa tăng gấp 2</w:t>
      </w:r>
      <w:proofErr w:type="gramStart"/>
      <w:r w:rsidRPr="000331A6">
        <w:t>,5</w:t>
      </w:r>
      <w:proofErr w:type="gramEnd"/>
      <w:r w:rsidRPr="000331A6">
        <w:t xml:space="preserve"> lần so với vốn đ</w:t>
      </w:r>
      <w:r w:rsidR="000614B6">
        <w:t>i</w:t>
      </w:r>
      <w:r w:rsidRPr="000331A6">
        <w:t>ều lệ khi tiếp nhận</w:t>
      </w:r>
      <w:r w:rsidRPr="00EB60AE">
        <w:rPr>
          <w:rStyle w:val="FootnoteReference"/>
          <w:b/>
        </w:rPr>
        <w:footnoteReference w:id="53"/>
      </w:r>
      <w:r w:rsidRPr="000331A6">
        <w:t>.</w:t>
      </w:r>
    </w:p>
    <w:p w:rsidR="00446FF5" w:rsidRDefault="00446FF5" w:rsidP="00810273">
      <w:r w:rsidRPr="000331A6">
        <w:t xml:space="preserve">Tính đến thời điểm hiện tại, đa số các doanh nghiệp đã cổ phần hóa có tình hình sản xuất kinh doanh phát triển ổn định, định hướng phát triển và ngành nghề kinh doanh theo đúng phương án cổ phần hóa đã được phê duyệt, đảm bảo việc làm và thu nhập cho người lao động; vốn đầu tư của nhà nước tại doanh nghiệp được bảo toàn và phát triển; tăng cường sự kết nối, phối hợp nhịp nhàng, đồng bộ giữa Công ty và Người đại diện chủ sở hữu vốn trong việc thực hiện quyền và nghĩa vụ đối với phần vốn nhà nước nắm giữ tại doanh nghiệp. </w:t>
      </w:r>
    </w:p>
    <w:p w:rsidR="00B516D7" w:rsidRDefault="0008064B" w:rsidP="00810273">
      <w:pPr>
        <w:pStyle w:val="Heading3"/>
      </w:pPr>
      <w:r w:rsidRPr="000331A6">
        <w:t xml:space="preserve">3.5. </w:t>
      </w:r>
      <w:bookmarkStart w:id="84" w:name="_Toc53064603"/>
      <w:r w:rsidRPr="000331A6">
        <w:t>Chi phí ước tính từ rủi ro các dự án PPP</w:t>
      </w:r>
      <w:bookmarkEnd w:id="83"/>
      <w:bookmarkEnd w:id="84"/>
    </w:p>
    <w:p w:rsidR="00B516D7" w:rsidRDefault="0008064B" w:rsidP="00810273">
      <w:r w:rsidRPr="000331A6">
        <w:t>Trong thời gian qua, Chính quyền địa phương đã triển khai thực hiện các dự án PPP</w:t>
      </w:r>
      <w:r w:rsidR="00F605C7" w:rsidRPr="000331A6">
        <w:t>,</w:t>
      </w:r>
      <w:r w:rsidRPr="000331A6">
        <w:t xml:space="preserve"> đẩy mạnh thu hút vốn đầu tư phát triển từ khu vực tư nhân phát triển hạ tầng kinh tế - xã hội; Cụ thể:</w:t>
      </w:r>
    </w:p>
    <w:p w:rsidR="00B516D7" w:rsidRDefault="0008064B" w:rsidP="00810273">
      <w:pPr>
        <w:rPr>
          <w:lang w:val="af-ZA"/>
        </w:rPr>
      </w:pPr>
      <w:r w:rsidRPr="000331A6">
        <w:rPr>
          <w:i/>
        </w:rPr>
        <w:t>(1) Thái Nguyên:</w:t>
      </w:r>
      <w:r w:rsidRPr="000331A6">
        <w:rPr>
          <w:lang w:val="af-ZA"/>
        </w:rPr>
        <w:t xml:space="preserve"> Thực hiện 28 dự án, gồm: 26 dự án BT và 02 dự án BOO (dự án Bến xe khách phía Nam thành phố Thái Nguyên; Bến xe khách thị xã Phổ </w:t>
      </w:r>
      <w:r w:rsidRPr="000331A6">
        <w:rPr>
          <w:lang w:val="af-ZA"/>
        </w:rPr>
        <w:lastRenderedPageBreak/>
        <w:t>Yên; Bến xe khách huyện Phú Bình; Bến xe khách huyện Đại Từ)</w:t>
      </w:r>
      <w:r w:rsidR="004E061B" w:rsidRPr="000331A6">
        <w:rPr>
          <w:lang w:val="af-ZA"/>
        </w:rPr>
        <w:t xml:space="preserve"> với t</w:t>
      </w:r>
      <w:r w:rsidRPr="000331A6">
        <w:rPr>
          <w:lang w:val="af-ZA"/>
        </w:rPr>
        <w:t>ổng mức đầu tư là 14</w:t>
      </w:r>
      <w:proofErr w:type="gramStart"/>
      <w:r w:rsidRPr="000331A6">
        <w:rPr>
          <w:lang w:val="af-ZA"/>
        </w:rPr>
        <w:t>,1</w:t>
      </w:r>
      <w:proofErr w:type="gramEnd"/>
      <w:r w:rsidRPr="000331A6">
        <w:rPr>
          <w:lang w:val="af-ZA"/>
        </w:rPr>
        <w:t xml:space="preserve"> nghìn tỷ đồng; Vốn nhà nước tham gia là 3,7 nghìn tỷ đồng, chiếm 26,4%.</w:t>
      </w:r>
    </w:p>
    <w:p w:rsidR="00B516D7" w:rsidRDefault="0008064B" w:rsidP="00810273">
      <w:pPr>
        <w:rPr>
          <w:lang w:val="da-DK"/>
        </w:rPr>
      </w:pPr>
      <w:r w:rsidRPr="000331A6">
        <w:rPr>
          <w:i/>
          <w:lang w:val="af-ZA"/>
        </w:rPr>
        <w:t>(2) Phú Thọ:</w:t>
      </w:r>
      <w:r w:rsidRPr="000331A6">
        <w:rPr>
          <w:lang w:val="da-DK"/>
        </w:rPr>
        <w:t xml:space="preserve"> Tỉnh đã chủ động triển khai, bố trí vốn đầu tư công để thực hiện các công tác chuẩn bị, đền bù giải phóng mặt bằng, xây dựng danh mục các dự án cần thực hiện cũng như quy hoạch các khu vực dự kiến sử dụng để thanh toán cho nhà</w:t>
      </w:r>
      <w:r w:rsidRPr="000331A6">
        <w:rPr>
          <w:lang w:val="vi-VN"/>
        </w:rPr>
        <w:t xml:space="preserve"> đầu tư</w:t>
      </w:r>
      <w:r w:rsidRPr="000331A6">
        <w:rPr>
          <w:lang w:val="da-DK"/>
        </w:rPr>
        <w:t>.</w:t>
      </w:r>
    </w:p>
    <w:p w:rsidR="00B516D7" w:rsidRDefault="0008064B" w:rsidP="00810273">
      <w:r w:rsidRPr="000331A6">
        <w:rPr>
          <w:i/>
          <w:lang w:val="af-ZA"/>
        </w:rPr>
        <w:t>(3) Hà Nội:</w:t>
      </w:r>
      <w:r w:rsidRPr="000331A6">
        <w:t xml:space="preserve"> Triển khai 118 dự án với tổng mức đầu tư 487,1 nghìn tỷ đồng, trong đó: 09 dự án đã cơ bản hoàn thành, TMĐT 14,2 nghìn tỷ đồng; 10 dự án đã ký hợp đồng, trong đó 08 dự án đang triển khai thi công, TMĐT 27,2 nghìn tỷ đồng; 94 dự án đang thực hiện thủ tục đầu tư, TMĐT dự kiến 266,7 nghìn tỷ đồng, bao gồm: 05 dự án tuyến đường sắt đô thị thực hiện theo cơ chế riêng, tập trung hoàn thành công tác chuẩn bị đầu tư, TMĐT 178,9 nghìn tỷ đồng.</w:t>
      </w:r>
    </w:p>
    <w:p w:rsidR="00B516D7" w:rsidRDefault="0008064B" w:rsidP="00810273">
      <w:r w:rsidRPr="000331A6">
        <w:rPr>
          <w:i/>
        </w:rPr>
        <w:t xml:space="preserve">(4) Bắc Ninh: </w:t>
      </w:r>
      <w:r w:rsidRPr="000331A6">
        <w:t>Tỉnh thực hiện 140 dự án đầu tư PPP (trong đó 130 dự án BT), TMĐT là 46</w:t>
      </w:r>
      <w:proofErr w:type="gramStart"/>
      <w:r w:rsidRPr="000331A6">
        <w:t>,1</w:t>
      </w:r>
      <w:proofErr w:type="gramEnd"/>
      <w:r w:rsidRPr="000331A6">
        <w:t xml:space="preserve"> nghìn tỷ đồng (khoảng 2,6 nghìn ha đất). </w:t>
      </w:r>
    </w:p>
    <w:p w:rsidR="00B516D7" w:rsidRDefault="0008064B" w:rsidP="00810273">
      <w:r w:rsidRPr="000331A6">
        <w:rPr>
          <w:i/>
        </w:rPr>
        <w:t>(5) Bình Dương:</w:t>
      </w:r>
      <w:r w:rsidRPr="000331A6">
        <w:t xml:space="preserve"> Đến nay</w:t>
      </w:r>
      <w:r w:rsidR="002B29A7" w:rsidRPr="000331A6">
        <w:t>,</w:t>
      </w:r>
      <w:r w:rsidRPr="000331A6">
        <w:t xml:space="preserve"> có 06 nhà đầu tư đề xuất 07 dự </w:t>
      </w:r>
      <w:proofErr w:type="gramStart"/>
      <w:r w:rsidRPr="000331A6">
        <w:t>án</w:t>
      </w:r>
      <w:proofErr w:type="gramEnd"/>
      <w:r w:rsidRPr="000331A6">
        <w:t xml:space="preserve"> BT ở bước nghiên cứu đề xuất. Tuy nhiên, do cơ chế, chính sách trong việc thu hút, khuyến khích đầu tư bằng hình thức đối tác công tư còn nhiều hạn chế, một số dự án đã chuyển sang đầu tư từ nguồn vốn ngân sách.</w:t>
      </w:r>
    </w:p>
    <w:p w:rsidR="00B516D7" w:rsidRDefault="0008064B" w:rsidP="00810273">
      <w:r w:rsidRPr="000331A6">
        <w:t xml:space="preserve">Các hợp đồng dự án PPP đang triển khai </w:t>
      </w:r>
      <w:proofErr w:type="gramStart"/>
      <w:r w:rsidRPr="000331A6">
        <w:t>theo</w:t>
      </w:r>
      <w:proofErr w:type="gramEnd"/>
      <w:r w:rsidRPr="000331A6">
        <w:t xml:space="preserve"> các quy định của pháp luật. Tuy nhiên, các nhà đầu tư mới tập trung một số dự án PPP thông qua hợp đồng BT, BOT thuộc lĩnh vực giao thông là chủ yếu, do tính pháp lý của đầu tư theo hình thức hợp tác công tư còn thấp, thường xuyên thay đổi, chưa có những cơ chế, chính sách ưu đãi hấp dẫn các nhà Đầu tư; quy định của pháp luật chưa rõ ràng liên quan đến thanh toán, giao đất quỹ đất hoàn vốn cho nhà đầu tư, nên việc triển khai một số hợp đồng chưa đáp ứng tiến độ (Khánh Hòa, Nghệ An). Việc nhà đầu tư đề xuất dự án còn gây tốn kém, lãng phí, vì trong quá trình đề xuất dự án nhà đầu tư chưa nắm được mong muốn của cơ quan quản lý nhà nước có thẩm quyền về dự án nên làm hồ sơ sơ sài, có mục đích thăm dò</w:t>
      </w:r>
      <w:r w:rsidR="002B29A7" w:rsidRPr="000331A6">
        <w:t>,</w:t>
      </w:r>
      <w:r w:rsidRPr="000331A6">
        <w:t xml:space="preserve"> dẫn đến phải làm đi làm lại gây lãng phí nguồn lực của nhà đầu tư; một số dự án phải chuyển sang đầu tư từ nguồn vốn ngân sách đã gây áp lực chi NSĐP.</w:t>
      </w:r>
      <w:bookmarkStart w:id="85" w:name="_Toc62654357"/>
    </w:p>
    <w:p w:rsidR="00201FB8" w:rsidRPr="00201FB8" w:rsidRDefault="00201FB8" w:rsidP="00810273">
      <w:pPr>
        <w:rPr>
          <w:lang w:val="sv-SE"/>
        </w:rPr>
      </w:pPr>
      <w:r w:rsidRPr="002F301B">
        <w:t>Luật Đầu tư công theo phương thức đối tác công tư (PPP) có hiệu lực từ năm 2021, quy định một số cơ chế chính sách tài chính như: vốn Nhà nước tham gia dự án PPP (vốn đầu tư công hỗ t</w:t>
      </w:r>
      <w:r w:rsidR="00652EC5" w:rsidRPr="007259A0">
        <w:t>r</w:t>
      </w:r>
      <w:r w:rsidRPr="002F301B">
        <w:t>ợ Nhà nước trong các dự án PPP, thanh toán cho nhà đầu tư BTL, BLT)</w:t>
      </w:r>
      <w:r w:rsidR="00035DDF" w:rsidRPr="00DE5E1B">
        <w:t>,</w:t>
      </w:r>
      <w:r w:rsidRPr="002F301B">
        <w:t xml:space="preserve"> sử dụng vốn Nhà nước thanh toán chi phí hợp đồng chấm dứt trước thời hạn, cơ chế chia sẻ phần tăng, giảm doanh thu. </w:t>
      </w:r>
      <w:proofErr w:type="gramStart"/>
      <w:r w:rsidRPr="002F301B">
        <w:t>Các cơ chế này sẽ ảnh hưởng đến ngân sách của các địa phương, song pháp luật chưa có quy định tính các khoản trên vào nợ công.</w:t>
      </w:r>
      <w:proofErr w:type="gramEnd"/>
      <w:r w:rsidRPr="002F301B">
        <w:t xml:space="preserve"> Đồng thời, việc sử dụng tài sản công để thanh toán cho nhà đầu tư dự </w:t>
      </w:r>
      <w:proofErr w:type="gramStart"/>
      <w:r w:rsidRPr="002F301B">
        <w:t>án</w:t>
      </w:r>
      <w:proofErr w:type="gramEnd"/>
      <w:r w:rsidRPr="002F301B">
        <w:t xml:space="preserve"> BT không còn cơ sở để tiếp tục thực hiện dẫn đến một số địa phương phải sử dụng nguồn NSĐP để bù đắp phần Nhà nước tham gia dự án.</w:t>
      </w:r>
    </w:p>
    <w:p w:rsidR="00B516D7" w:rsidRDefault="00B60EF1" w:rsidP="00810273">
      <w:pPr>
        <w:pStyle w:val="Heading3"/>
      </w:pPr>
      <w:r w:rsidRPr="000331A6">
        <w:t>3</w:t>
      </w:r>
      <w:r w:rsidR="0008064B" w:rsidRPr="000331A6">
        <w:t xml:space="preserve">.6. </w:t>
      </w:r>
      <w:bookmarkStart w:id="86" w:name="_Toc53064604"/>
      <w:r w:rsidR="0008064B" w:rsidRPr="000331A6">
        <w:t xml:space="preserve">Chi phí ước tính từ rủi ro thiên </w:t>
      </w:r>
      <w:proofErr w:type="gramStart"/>
      <w:r w:rsidR="0008064B" w:rsidRPr="000331A6">
        <w:t>tai</w:t>
      </w:r>
      <w:bookmarkEnd w:id="85"/>
      <w:bookmarkEnd w:id="86"/>
      <w:proofErr w:type="gramEnd"/>
    </w:p>
    <w:p w:rsidR="00B516D7" w:rsidRDefault="0008064B" w:rsidP="00810273">
      <w:r w:rsidRPr="000331A6">
        <w:lastRenderedPageBreak/>
        <w:t xml:space="preserve">Thiệt hại về tính mạng, nhà ở, sản xuất, kết cấu hạ tầng kinh tế - xã hội, do thiên tai, bão lũ, hạn hán, xâm nhập mặn tính chung 05 năm 2016 - 2020 </w:t>
      </w:r>
      <w:r w:rsidR="009F50C7" w:rsidRPr="000331A6">
        <w:t xml:space="preserve">trên 63 địa phương </w:t>
      </w:r>
      <w:r w:rsidRPr="000331A6">
        <w:t xml:space="preserve">khoảng </w:t>
      </w:r>
      <w:r w:rsidRPr="000331A6">
        <w:rPr>
          <w:b/>
        </w:rPr>
        <w:t>13</w:t>
      </w:r>
      <w:r w:rsidR="00C018D2" w:rsidRPr="000331A6">
        <w:rPr>
          <w:b/>
        </w:rPr>
        <w:t>5</w:t>
      </w:r>
      <w:r w:rsidRPr="000331A6">
        <w:t xml:space="preserve"> nghìn tỷ đồng</w:t>
      </w:r>
      <w:r w:rsidR="002B4E5F" w:rsidRPr="000331A6">
        <w:t xml:space="preserve">, bình quân </w:t>
      </w:r>
      <w:r w:rsidR="002B4E5F" w:rsidRPr="000331A6">
        <w:rPr>
          <w:b/>
        </w:rPr>
        <w:t>2</w:t>
      </w:r>
      <w:r w:rsidR="00C018D2" w:rsidRPr="000331A6">
        <w:rPr>
          <w:b/>
        </w:rPr>
        <w:t>7</w:t>
      </w:r>
      <w:r w:rsidR="002B4E5F" w:rsidRPr="000331A6">
        <w:t xml:space="preserve"> nghìn tỷ đồng/năm, trong đó: Thiệt hại về người (263 người chết, mất tích; 471 người bị thương); thiệt hại về nông nghiệp (diện tích lúa 162.777 ha; diện tích hóa màu 72.391 ha); thiệt hại về nhà ở (nhà bị đổ, sập, nước cuốn trôi 59.580 nhà; nhà bị ngập nước, sạt lở, tốc mái 365.158 nhà)</w:t>
      </w:r>
      <w:r w:rsidRPr="000331A6">
        <w:t>.</w:t>
      </w:r>
    </w:p>
    <w:p w:rsidR="00B516D7" w:rsidRDefault="0008064B" w:rsidP="00810273">
      <w:r w:rsidRPr="000331A6">
        <w:t xml:space="preserve">Nhu cầu kinh phí phòng, chống, khắc phục hậu quả thiên tai, biến đổi khí hậu là rất lớn; </w:t>
      </w:r>
      <w:r w:rsidR="00C018D2" w:rsidRPr="000331A6">
        <w:t>t</w:t>
      </w:r>
      <w:r w:rsidRPr="000331A6">
        <w:t>hực hiện phương châm 04 tại chỗ (vật tư, phương tiện, hậu cần và lực lượng tại chỗ), các địa phương đã chủ động sử dụng nguồn lực của địa phương (dự phòng NSĐP, Quỹ dự trữ tài chính; Quỹ phòng chống thiên tai) và huy động các tổ chức, cá nhân trong và ngoài nước</w:t>
      </w:r>
      <w:r w:rsidR="00C83D8B" w:rsidRPr="000331A6">
        <w:t xml:space="preserve"> để phòng, chống, khắc phục hậu quả thiên tai</w:t>
      </w:r>
      <w:r w:rsidRPr="000331A6">
        <w:t xml:space="preserve">. </w:t>
      </w:r>
      <w:r w:rsidR="00223332" w:rsidRPr="000331A6">
        <w:t>Trường</w:t>
      </w:r>
      <w:r w:rsidRPr="000331A6">
        <w:t xml:space="preserve"> </w:t>
      </w:r>
      <w:r w:rsidR="00223332" w:rsidRPr="000331A6">
        <w:t xml:space="preserve">hợp </w:t>
      </w:r>
      <w:r w:rsidRPr="000331A6">
        <w:t>thiên tai, bão lũ, hạn hán, xâm nhập mặn diễn ra trên diện rộng vượt quá khả năng cân đối của NSĐP, NSTW hỗ trợ các địa phương</w:t>
      </w:r>
      <w:r w:rsidR="00223332" w:rsidRPr="000331A6">
        <w:t xml:space="preserve"> khó khăn</w:t>
      </w:r>
      <w:r w:rsidRPr="000331A6">
        <w:t xml:space="preserve"> theo quy định, từ năm </w:t>
      </w:r>
      <w:r w:rsidR="0026450F">
        <w:t>2016 - 2020</w:t>
      </w:r>
      <w:r w:rsidRPr="000331A6">
        <w:t xml:space="preserve"> NSTW đã hỗ trợ các địa phương khoảng 28</w:t>
      </w:r>
      <w:r w:rsidR="002108AF" w:rsidRPr="000331A6">
        <w:t xml:space="preserve"> nghìn</w:t>
      </w:r>
      <w:r w:rsidRPr="000331A6">
        <w:t xml:space="preserve"> tỷ đồng</w:t>
      </w:r>
      <w:r w:rsidR="00C018D2" w:rsidRPr="000331A6">
        <w:t>, để sửa chữa, khôi phục kết cấu hạ tầng kinh tế - xã hội, hỗ trợ người dân sớm ổn định đời sống và sản xuất</w:t>
      </w:r>
      <w:r w:rsidR="002935C9" w:rsidRPr="000331A6">
        <w:t>.</w:t>
      </w:r>
      <w:r w:rsidR="00AE5E5F" w:rsidRPr="000331A6">
        <w:t xml:space="preserve"> Trong dài hạn, Chính phủ, chính quyền địa phương đã ưu tiên tập trung bố trí nguồn vốn thực hiện các dự án, công trình chống biến đổi khí hậu, sửa chữa, nâng cấp đê, kè, hồ đập xung yếu, thực hiện chương trình di dân khỏi vùng có nguy cơ sạt, lở, hỗ trợ xây dựng nhà ở cho người dân vùng ngập lũ, lụt,...góp phần hạn chế thiệt hại đến mức thấp nhất do thiên tai gây ra trong thời gian vừa qua. </w:t>
      </w:r>
      <w:r w:rsidR="00315261" w:rsidRPr="000331A6">
        <w:t>Đây cũng là những chi phí cần tính tới trong việc xây dựng kế hoạch tài chính 05</w:t>
      </w:r>
      <w:r w:rsidR="00C4030E" w:rsidRPr="000331A6">
        <w:t xml:space="preserve"> năm</w:t>
      </w:r>
      <w:r w:rsidR="00315261" w:rsidRPr="000331A6">
        <w:t xml:space="preserve"> địa phương, kế hoạch tài chính </w:t>
      </w:r>
      <w:r w:rsidR="00C4030E" w:rsidRPr="000331A6">
        <w:t>-</w:t>
      </w:r>
      <w:r w:rsidR="00315261" w:rsidRPr="000331A6">
        <w:t xml:space="preserve"> NSNN 03 năm và dự toán ngân sách hàng năm.</w:t>
      </w:r>
      <w:bookmarkStart w:id="87" w:name="_Toc62654358"/>
      <w:bookmarkStart w:id="88" w:name="_Toc62657716"/>
    </w:p>
    <w:p w:rsidR="00B516D7" w:rsidRDefault="0008064B" w:rsidP="00810273">
      <w:pPr>
        <w:pStyle w:val="Heading1"/>
      </w:pPr>
      <w:bookmarkStart w:id="89" w:name="_Toc87619922"/>
      <w:r w:rsidRPr="000331A6">
        <w:t>I</w:t>
      </w:r>
      <w:r w:rsidR="00B516D7">
        <w:t>V</w:t>
      </w:r>
      <w:r w:rsidRPr="000331A6">
        <w:t>. NHỮNG KHÓ KHĂN, HẠN CHẾ</w:t>
      </w:r>
      <w:bookmarkStart w:id="90" w:name="_Toc62654359"/>
      <w:bookmarkStart w:id="91" w:name="_Toc62657717"/>
      <w:bookmarkEnd w:id="87"/>
      <w:bookmarkEnd w:id="88"/>
      <w:r w:rsidR="00EF5FA1">
        <w:t xml:space="preserve"> VÀ NGUYÊN NHÂN</w:t>
      </w:r>
      <w:bookmarkEnd w:id="89"/>
    </w:p>
    <w:p w:rsidR="00B516D7" w:rsidRDefault="0008064B" w:rsidP="00810273">
      <w:pPr>
        <w:pStyle w:val="Heading2"/>
      </w:pPr>
      <w:bookmarkStart w:id="92" w:name="_Toc87619923"/>
      <w:r w:rsidRPr="00B516D7">
        <w:t>1. Những khó khăn, hạn chế</w:t>
      </w:r>
      <w:bookmarkEnd w:id="90"/>
      <w:bookmarkEnd w:id="91"/>
      <w:bookmarkEnd w:id="92"/>
    </w:p>
    <w:p w:rsidR="00B516D7" w:rsidRDefault="0008064B" w:rsidP="00810273">
      <w:pPr>
        <w:rPr>
          <w:lang w:val="nl-NL"/>
        </w:rPr>
      </w:pPr>
      <w:r w:rsidRPr="000331A6">
        <w:rPr>
          <w:b/>
          <w:i/>
          <w:lang w:val="nl-NL"/>
        </w:rPr>
        <w:t>Thứ nhất,</w:t>
      </w:r>
      <w:r w:rsidRPr="000331A6">
        <w:rPr>
          <w:lang w:val="nl-NL"/>
        </w:rPr>
        <w:t xml:space="preserve"> việc ban hành và tổ chức thực hiện một số cơ chế, chính sách tài chính</w:t>
      </w:r>
      <w:r w:rsidR="00FF74BF">
        <w:rPr>
          <w:lang w:val="nl-NL"/>
        </w:rPr>
        <w:t xml:space="preserve"> - NSNN</w:t>
      </w:r>
      <w:r w:rsidRPr="000331A6">
        <w:rPr>
          <w:lang w:val="nl-NL"/>
        </w:rPr>
        <w:t xml:space="preserve"> còn chưa thực sự đồng bộ, chưa bắt kịp đòi hỏi của thực </w:t>
      </w:r>
      <w:r w:rsidR="00932A3D" w:rsidRPr="000331A6">
        <w:rPr>
          <w:spacing w:val="-2"/>
          <w:lang w:val="nl-NL"/>
        </w:rPr>
        <w:t>tiễn</w:t>
      </w:r>
      <w:r w:rsidR="00932A3D" w:rsidRPr="000331A6">
        <w:rPr>
          <w:rStyle w:val="FootnoteReference"/>
          <w:b/>
          <w:spacing w:val="-2"/>
          <w:lang w:val="nl-NL"/>
        </w:rPr>
        <w:footnoteReference w:id="54"/>
      </w:r>
      <w:r w:rsidRPr="000331A6">
        <w:rPr>
          <w:lang w:val="nl-NL"/>
        </w:rPr>
        <w:t>,</w:t>
      </w:r>
      <w:r w:rsidR="00932A3D" w:rsidRPr="000331A6">
        <w:rPr>
          <w:lang w:val="nl-NL"/>
        </w:rPr>
        <w:t xml:space="preserve"> </w:t>
      </w:r>
      <w:r w:rsidR="00932A3D" w:rsidRPr="000331A6">
        <w:rPr>
          <w:spacing w:val="-2"/>
          <w:lang w:val="nl-NL"/>
        </w:rPr>
        <w:t>chưa</w:t>
      </w:r>
      <w:r w:rsidR="00D24AF9" w:rsidRPr="000331A6">
        <w:rPr>
          <w:spacing w:val="-2"/>
          <w:lang w:val="nl-NL"/>
        </w:rPr>
        <w:t xml:space="preserve"> </w:t>
      </w:r>
      <w:r w:rsidR="00932A3D" w:rsidRPr="000331A6">
        <w:rPr>
          <w:spacing w:val="-2"/>
          <w:lang w:val="nl-NL"/>
        </w:rPr>
        <w:t>ban hành Luật thuế tài sản;</w:t>
      </w:r>
      <w:r w:rsidR="00932A3D" w:rsidRPr="000331A6">
        <w:rPr>
          <w:lang w:val="nl-NL"/>
        </w:rPr>
        <w:t xml:space="preserve"> Cơ chế phân cấp quản lý kinh tế, quản lý NSNN và đầu tư được đẩy mạnh, nhưng trong thực hiện còn thiếu đồng bộ</w:t>
      </w:r>
      <w:r w:rsidR="00DC68B8" w:rsidRPr="000331A6">
        <w:rPr>
          <w:lang w:val="nl-NL"/>
        </w:rPr>
        <w:t>, NSTW chưa thực sự đóng vai trò chủ đạo, dẫn dắt</w:t>
      </w:r>
      <w:r w:rsidR="00932A3D" w:rsidRPr="000331A6">
        <w:rPr>
          <w:lang w:val="nl-NL"/>
        </w:rPr>
        <w:t xml:space="preserve">, thiếu các cơ chế giám sát hiệu quả. </w:t>
      </w:r>
    </w:p>
    <w:p w:rsidR="00B516D7" w:rsidRDefault="0008064B" w:rsidP="00810273">
      <w:r w:rsidRPr="000331A6">
        <w:rPr>
          <w:b/>
          <w:i/>
          <w:lang w:val="vi-VN"/>
        </w:rPr>
        <w:t>Thứ</w:t>
      </w:r>
      <w:r w:rsidR="00171539" w:rsidRPr="000331A6">
        <w:rPr>
          <w:b/>
          <w:i/>
          <w:lang w:val="vi-VN"/>
        </w:rPr>
        <w:t xml:space="preserve"> </w:t>
      </w:r>
      <w:r w:rsidR="00171539" w:rsidRPr="000331A6">
        <w:rPr>
          <w:b/>
          <w:i/>
        </w:rPr>
        <w:t>hai</w:t>
      </w:r>
      <w:r w:rsidRPr="000331A6">
        <w:rPr>
          <w:b/>
          <w:i/>
          <w:lang w:val="vi-VN"/>
        </w:rPr>
        <w:t xml:space="preserve">, </w:t>
      </w:r>
      <w:r w:rsidRPr="000331A6">
        <w:rPr>
          <w:lang w:val="nl-NL"/>
        </w:rPr>
        <w:t>cân đối NS</w:t>
      </w:r>
      <w:r w:rsidR="00403A3D" w:rsidRPr="000331A6">
        <w:rPr>
          <w:lang w:val="nl-NL"/>
        </w:rPr>
        <w:t>ĐP</w:t>
      </w:r>
      <w:r w:rsidRPr="000331A6">
        <w:rPr>
          <w:lang w:val="nl-NL"/>
        </w:rPr>
        <w:t xml:space="preserve"> đã được cải thiện bước đầu, nhưng chưa bền vững, đang chịu thách thức lớn.</w:t>
      </w:r>
      <w:r w:rsidR="00A15331" w:rsidRPr="000331A6">
        <w:rPr>
          <w:lang w:val="nl-NL"/>
        </w:rPr>
        <w:t xml:space="preserve"> Năm 2020, do tác động của đại dịch Covid-19, quy mô thu ngân sách giảm mạnh so với dự toán, gây khó khăn rất lớn cho cân đối NS</w:t>
      </w:r>
      <w:r w:rsidR="000E5F13" w:rsidRPr="000331A6">
        <w:rPr>
          <w:lang w:val="nl-NL"/>
        </w:rPr>
        <w:t>ĐP</w:t>
      </w:r>
      <w:r w:rsidR="00A15331" w:rsidRPr="000331A6">
        <w:rPr>
          <w:lang w:val="nl-NL"/>
        </w:rPr>
        <w:t xml:space="preserve">; mặt bằng thu ở mức thấp hơn nhiều so với các dự kiến trước đây. Dư địa tăng thu rất hạn chế, </w:t>
      </w:r>
      <w:r w:rsidR="008B5E32" w:rsidRPr="000331A6">
        <w:rPr>
          <w:lang w:val="nl-NL"/>
        </w:rPr>
        <w:t>kể cả các địa phương trọng điểm thu NSNN,</w:t>
      </w:r>
      <w:r w:rsidR="00A15331" w:rsidRPr="000331A6">
        <w:rPr>
          <w:lang w:val="nl-NL"/>
        </w:rPr>
        <w:t xml:space="preserve"> do tình hình kinh tế - xã hội còn nhiều khó khăn; trên </w:t>
      </w:r>
      <w:r w:rsidR="00A15331" w:rsidRPr="000331A6">
        <w:rPr>
          <w:b/>
          <w:lang w:val="nl-NL"/>
        </w:rPr>
        <w:t>90%</w:t>
      </w:r>
      <w:r w:rsidR="00A15331" w:rsidRPr="000331A6">
        <w:rPr>
          <w:lang w:val="nl-NL"/>
        </w:rPr>
        <w:t xml:space="preserve"> doanh nghiệp hiện nay có quy mô vừa và nhỏ, năng lực cạnh tranh thấp, thuộc diện ưu đãi, tích tụ vốn để tiếp tục đầu tư, tồn tại và phát triển trong môi trường hội nhập, mở cửa sâu rộng</w:t>
      </w:r>
      <w:r w:rsidRPr="000331A6">
        <w:rPr>
          <w:lang w:val="vi-VN"/>
        </w:rPr>
        <w:t>.</w:t>
      </w:r>
    </w:p>
    <w:p w:rsidR="00B516D7" w:rsidRDefault="0008064B" w:rsidP="00810273">
      <w:r w:rsidRPr="000331A6">
        <w:rPr>
          <w:b/>
          <w:i/>
          <w:lang w:val="nl-NL"/>
        </w:rPr>
        <w:lastRenderedPageBreak/>
        <w:t xml:space="preserve">Thứ </w:t>
      </w:r>
      <w:r w:rsidR="00147E8C" w:rsidRPr="000331A6">
        <w:rPr>
          <w:b/>
          <w:i/>
          <w:lang w:val="nl-NL"/>
        </w:rPr>
        <w:t>ba</w:t>
      </w:r>
      <w:r w:rsidRPr="000331A6">
        <w:rPr>
          <w:b/>
          <w:i/>
          <w:lang w:val="nl-NL"/>
        </w:rPr>
        <w:t>,</w:t>
      </w:r>
      <w:r w:rsidRPr="000331A6">
        <w:rPr>
          <w:lang w:val="nl-NL"/>
        </w:rPr>
        <w:t xml:space="preserve"> </w:t>
      </w:r>
      <w:r w:rsidRPr="000331A6">
        <w:rPr>
          <w:lang w:val="vi-VN"/>
        </w:rPr>
        <w:t>Cơ cấu lại chi NSNN</w:t>
      </w:r>
      <w:r w:rsidR="00F73237" w:rsidRPr="000331A6">
        <w:t>, NSĐP</w:t>
      </w:r>
      <w:r w:rsidRPr="000331A6">
        <w:rPr>
          <w:lang w:val="vi-VN"/>
        </w:rPr>
        <w:t xml:space="preserve"> gặp nhiều thách thức. Chi con người chiếm tỷ trọng cao, khoảng trên </w:t>
      </w:r>
      <w:r w:rsidRPr="000331A6">
        <w:rPr>
          <w:b/>
          <w:lang w:val="vi-VN"/>
        </w:rPr>
        <w:t>60%</w:t>
      </w:r>
      <w:r w:rsidRPr="000331A6">
        <w:rPr>
          <w:lang w:val="vi-VN"/>
        </w:rPr>
        <w:t xml:space="preserve"> tổng chi thường xuyên NS</w:t>
      </w:r>
      <w:r w:rsidR="00F73237" w:rsidRPr="000331A6">
        <w:t>ĐP</w:t>
      </w:r>
      <w:r w:rsidRPr="000331A6">
        <w:rPr>
          <w:lang w:val="vi-VN"/>
        </w:rPr>
        <w:t>. Hầu hết các khoản chi tiêu NS</w:t>
      </w:r>
      <w:r w:rsidR="00F73237" w:rsidRPr="000331A6">
        <w:t>ĐP</w:t>
      </w:r>
      <w:r w:rsidRPr="000331A6">
        <w:rPr>
          <w:lang w:val="vi-VN"/>
        </w:rPr>
        <w:t xml:space="preserve"> được kiểm soát theo các yếu tố đầu vào (chế độ, tiêu chuẩn, định mức); chưa có cơ chế kiểm soát chi tiêu NS</w:t>
      </w:r>
      <w:r w:rsidR="00F73237" w:rsidRPr="000331A6">
        <w:t>ĐP</w:t>
      </w:r>
      <w:r w:rsidRPr="000331A6">
        <w:rPr>
          <w:lang w:val="vi-VN"/>
        </w:rPr>
        <w:t xml:space="preserve"> theo kết quả thực hiện nhiệm vụ tại từng </w:t>
      </w:r>
      <w:r w:rsidR="00F73237" w:rsidRPr="000331A6">
        <w:t>sở, ban</w:t>
      </w:r>
      <w:r w:rsidRPr="000331A6">
        <w:rPr>
          <w:lang w:val="vi-VN"/>
        </w:rPr>
        <w:t>, ngành, đơn vị sử dụng NS</w:t>
      </w:r>
      <w:r w:rsidR="00F73237" w:rsidRPr="000331A6">
        <w:t>ĐP</w:t>
      </w:r>
      <w:r w:rsidRPr="000331A6">
        <w:rPr>
          <w:lang w:val="vi-VN"/>
        </w:rPr>
        <w:t xml:space="preserve"> để thúc đẩy việc sử dụng hiệu quả các nguồn lực tài chính của Nhà nước. Khối lượng tạm ứng, ứng trước và chuyển nguồn NS</w:t>
      </w:r>
      <w:r w:rsidR="00F73237" w:rsidRPr="000331A6">
        <w:t>ĐP</w:t>
      </w:r>
      <w:r w:rsidRPr="000331A6">
        <w:rPr>
          <w:lang w:val="vi-VN"/>
        </w:rPr>
        <w:t xml:space="preserve"> còn tương đối cao, gây rủi ro cho NS</w:t>
      </w:r>
      <w:r w:rsidR="00F73237" w:rsidRPr="000331A6">
        <w:t>ĐP</w:t>
      </w:r>
      <w:r w:rsidRPr="000331A6">
        <w:rPr>
          <w:lang w:val="vi-VN"/>
        </w:rPr>
        <w:t>.</w:t>
      </w:r>
    </w:p>
    <w:p w:rsidR="00B516D7" w:rsidRDefault="008818E1" w:rsidP="00810273">
      <w:pPr>
        <w:rPr>
          <w:iCs/>
        </w:rPr>
      </w:pPr>
      <w:r w:rsidRPr="000331A6">
        <w:rPr>
          <w:iCs/>
          <w:lang w:val="vi-VN"/>
        </w:rPr>
        <w:t xml:space="preserve">Quản lý </w:t>
      </w:r>
      <w:r w:rsidR="00F31534">
        <w:rPr>
          <w:iCs/>
        </w:rPr>
        <w:t>đầu tư phát triển</w:t>
      </w:r>
      <w:r w:rsidRPr="000331A6">
        <w:rPr>
          <w:iCs/>
          <w:lang w:val="vi-VN"/>
        </w:rPr>
        <w:t xml:space="preserve"> còn nhiều bất cập; </w:t>
      </w:r>
      <w:r w:rsidRPr="000331A6">
        <w:rPr>
          <w:lang w:val="vi-VN"/>
        </w:rPr>
        <w:t>triển khai giao kế hoạch trung hạn và kế hoạch hằng năm muộn và giao nhiều đợt</w:t>
      </w:r>
      <w:r w:rsidRPr="0099709B">
        <w:rPr>
          <w:rStyle w:val="FootnoteReference"/>
          <w:b/>
          <w:spacing w:val="-2"/>
        </w:rPr>
        <w:footnoteReference w:id="55"/>
      </w:r>
      <w:r w:rsidRPr="000331A6">
        <w:rPr>
          <w:lang w:val="vi-VN"/>
        </w:rPr>
        <w:t>, có năm không giao hết theo kế hoạch Quốc hội giao;…</w:t>
      </w:r>
      <w:r w:rsidRPr="000331A6">
        <w:rPr>
          <w:iCs/>
          <w:lang w:val="vi-VN"/>
        </w:rPr>
        <w:t xml:space="preserve">; tỷ lệ giải ngân vốn đầu tư thấp, </w:t>
      </w:r>
      <w:r w:rsidRPr="000331A6">
        <w:rPr>
          <w:iCs/>
          <w:lang w:val="sv-SE"/>
        </w:rPr>
        <w:t xml:space="preserve">bình quân hằng năm đạt khoảng </w:t>
      </w:r>
      <w:r w:rsidRPr="000331A6">
        <w:rPr>
          <w:b/>
          <w:iCs/>
          <w:lang w:val="sv-SE"/>
        </w:rPr>
        <w:t>83,4%</w:t>
      </w:r>
      <w:r w:rsidRPr="000331A6">
        <w:rPr>
          <w:iCs/>
          <w:lang w:val="sv-SE"/>
        </w:rPr>
        <w:t xml:space="preserve"> kế hoạch Thủ tướng Chính phủ giao</w:t>
      </w:r>
      <w:r w:rsidRPr="0099709B">
        <w:rPr>
          <w:b/>
          <w:iCs/>
          <w:vertAlign w:val="superscript"/>
        </w:rPr>
        <w:footnoteReference w:id="56"/>
      </w:r>
      <w:r w:rsidRPr="000331A6">
        <w:rPr>
          <w:iCs/>
          <w:lang w:val="vi-VN"/>
        </w:rPr>
        <w:t>, chưa xử lý dứt điểm thu hồi vốn ứng và nợ xây dựng cơ bản.</w:t>
      </w:r>
    </w:p>
    <w:p w:rsidR="00B516D7" w:rsidRDefault="0008064B" w:rsidP="00810273">
      <w:pPr>
        <w:rPr>
          <w:lang w:val="zu-ZA"/>
        </w:rPr>
      </w:pPr>
      <w:r w:rsidRPr="000331A6">
        <w:rPr>
          <w:b/>
          <w:i/>
          <w:lang w:val="zu-ZA"/>
        </w:rPr>
        <w:t>Thứ</w:t>
      </w:r>
      <w:r w:rsidR="00147E8C" w:rsidRPr="000331A6">
        <w:rPr>
          <w:b/>
          <w:i/>
          <w:lang w:val="zu-ZA"/>
        </w:rPr>
        <w:t xml:space="preserve"> tư</w:t>
      </w:r>
      <w:r w:rsidRPr="000331A6">
        <w:rPr>
          <w:b/>
          <w:i/>
          <w:lang w:val="zu-ZA"/>
        </w:rPr>
        <w:t>,</w:t>
      </w:r>
      <w:r w:rsidRPr="000331A6">
        <w:rPr>
          <w:lang w:val="zu-ZA"/>
        </w:rPr>
        <w:t xml:space="preserve"> </w:t>
      </w:r>
      <w:r w:rsidR="002B6A89" w:rsidRPr="000331A6">
        <w:rPr>
          <w:lang w:val="zu-ZA"/>
        </w:rPr>
        <w:t>hệ thống các đơn vị sự nghiệp công lập còn lớn, mức độ tự chủ tài chính chưa cao, nhất là ở các địa phương ngoài vùng kinh tế trọng điểm; chưa tạo được các đột phá và sự hỗ trợ hiệu quả cho việc cơ cấu lại chi NSNN và thay đổi cách thức, phương thức quản lý tài chính tại các đơn vị sự nghiệp công lập. Các đơn vị sự nghiệp ngoài công lập phát triển còn hạn chế, chủ yếu tập trung ở các địa phương có kinh tế phát triển, các thành phố lớn.</w:t>
      </w:r>
    </w:p>
    <w:p w:rsidR="00B516D7" w:rsidRDefault="002B6A89" w:rsidP="00810273">
      <w:r w:rsidRPr="000331A6">
        <w:rPr>
          <w:lang w:val="vi-VN"/>
        </w:rPr>
        <w:t xml:space="preserve">Thực hiện lộ trình </w:t>
      </w:r>
      <w:r w:rsidRPr="000331A6">
        <w:rPr>
          <w:lang w:val="zu-ZA"/>
        </w:rPr>
        <w:t>điều chỉnh</w:t>
      </w:r>
      <w:r w:rsidRPr="000331A6">
        <w:rPr>
          <w:lang w:val="vi-VN"/>
        </w:rPr>
        <w:t xml:space="preserve"> giá dịch vụ sự nghiệp công </w:t>
      </w:r>
      <w:r w:rsidRPr="000331A6">
        <w:rPr>
          <w:lang w:val="zu-ZA"/>
        </w:rPr>
        <w:t>chưa kịp thời</w:t>
      </w:r>
      <w:r w:rsidRPr="000331A6">
        <w:rPr>
          <w:lang w:val="vi-VN"/>
        </w:rPr>
        <w:t>; đến nay, đối với lĩnh vực giáo dục- đào tạo và dạy nghề: mới thực hiện chuyển đổi từ phí sang giá dịch vụ đối với giáo dục đại học, nhưng “giá dịch vụ đào tạo” chưa tính đủ chi phí đào tạo cần thiết, trong mức trần quy định tại Nghị định số 86/2015/NĐ-CP ngày 02</w:t>
      </w:r>
      <w:r w:rsidRPr="000331A6">
        <w:t>/</w:t>
      </w:r>
      <w:r w:rsidRPr="000331A6">
        <w:rPr>
          <w:lang w:val="vi-VN"/>
        </w:rPr>
        <w:t>10</w:t>
      </w:r>
      <w:r w:rsidRPr="000331A6">
        <w:t>/</w:t>
      </w:r>
      <w:r w:rsidRPr="000331A6">
        <w:rPr>
          <w:lang w:val="vi-VN"/>
        </w:rPr>
        <w:t xml:space="preserve">2015 của Chính phủ, giá giáo dục nghề nghiệp mới chỉ bằng </w:t>
      </w:r>
      <w:r w:rsidRPr="000331A6">
        <w:rPr>
          <w:b/>
          <w:lang w:val="vi-VN"/>
        </w:rPr>
        <w:t>44%</w:t>
      </w:r>
      <w:r w:rsidRPr="000331A6">
        <w:rPr>
          <w:lang w:val="vi-VN"/>
        </w:rPr>
        <w:t xml:space="preserve"> mức giá tính đủ chi phí; đối với lĩnh vực y tế (giá dịch vụ khám bệnh, chữa bệnh), mức giá dịch vụ khám bệnh, chữa bệnh mới gồm chi phí trực tiếp, phụ cấp thường trực, phụ cấp phẫu thuật, thủ thuật và chi phí tiền lương (tính theo mức lương cơ sở 1</w:t>
      </w:r>
      <w:r w:rsidRPr="000331A6">
        <w:t>,</w:t>
      </w:r>
      <w:r w:rsidRPr="000331A6">
        <w:rPr>
          <w:lang w:val="vi-VN"/>
        </w:rPr>
        <w:t>49</w:t>
      </w:r>
      <w:r w:rsidRPr="000331A6">
        <w:t xml:space="preserve"> triệu </w:t>
      </w:r>
      <w:r w:rsidRPr="000331A6">
        <w:rPr>
          <w:lang w:val="vi-VN"/>
        </w:rPr>
        <w:t xml:space="preserve">đồng/tháng); chưa kết cấu chi phí quản lý, khấu hao tài sản cố định.  </w:t>
      </w:r>
    </w:p>
    <w:p w:rsidR="00B516D7" w:rsidRDefault="0008064B" w:rsidP="00810273">
      <w:pPr>
        <w:rPr>
          <w:iCs/>
          <w:spacing w:val="-2"/>
        </w:rPr>
      </w:pPr>
      <w:r w:rsidRPr="000331A6">
        <w:rPr>
          <w:b/>
          <w:i/>
          <w:lang w:val="zu-ZA"/>
        </w:rPr>
        <w:t xml:space="preserve">Thứ </w:t>
      </w:r>
      <w:r w:rsidR="00147E8C" w:rsidRPr="000331A6">
        <w:rPr>
          <w:b/>
          <w:i/>
          <w:lang w:val="zu-ZA"/>
        </w:rPr>
        <w:t>năm</w:t>
      </w:r>
      <w:r w:rsidRPr="000331A6">
        <w:rPr>
          <w:b/>
          <w:i/>
          <w:lang w:val="zu-ZA"/>
        </w:rPr>
        <w:t>,</w:t>
      </w:r>
      <w:r w:rsidRPr="000331A6">
        <w:rPr>
          <w:lang w:val="zu-ZA"/>
        </w:rPr>
        <w:t xml:space="preserve"> cổ phần hóa, thoái vốn tại </w:t>
      </w:r>
      <w:r w:rsidR="00963D77" w:rsidRPr="000331A6">
        <w:rPr>
          <w:lang w:val="zu-ZA"/>
        </w:rPr>
        <w:t>DNNN</w:t>
      </w:r>
      <w:r w:rsidRPr="000331A6">
        <w:rPr>
          <w:lang w:val="zu-ZA"/>
        </w:rPr>
        <w:t xml:space="preserve"> còn chậm</w:t>
      </w:r>
      <w:r w:rsidR="009B169D" w:rsidRPr="000331A6">
        <w:rPr>
          <w:lang w:val="zu-ZA"/>
        </w:rPr>
        <w:t xml:space="preserve">, </w:t>
      </w:r>
      <w:r w:rsidR="00782B1C" w:rsidRPr="00BE344B">
        <w:rPr>
          <w:lang w:val="zu-ZA"/>
        </w:rPr>
        <w:t>một số khó khăn về thể chế chậm được giải quyết, nhất l</w:t>
      </w:r>
      <w:r w:rsidR="00782B1C" w:rsidRPr="001D39AF">
        <w:rPr>
          <w:lang w:val="zu-ZA"/>
        </w:rPr>
        <w:t>à tổ chức sắp xếp lại nhà, đất, nâng cao hiệu quả quản trị doanh nghiệp chưa đạt yêu cầu; thiếu chiến lược phát triển doanh nghiệp</w:t>
      </w:r>
      <w:r w:rsidRPr="001D39AF">
        <w:rPr>
          <w:lang w:val="zu-ZA"/>
        </w:rPr>
        <w:t xml:space="preserve">; hiệu quả sản xuất kinh doanh của nhiều doanh nghiệp còn thấp chưa tương xứng với vị thế, nguồn lực đang nắm giữ. </w:t>
      </w:r>
      <w:r w:rsidR="00782B1C" w:rsidRPr="001D39AF">
        <w:rPr>
          <w:lang w:val="zu-ZA"/>
        </w:rPr>
        <w:t xml:space="preserve">Việc giảm tỷ lệ vốn nhà nước đầu tư tại các doanh nghiệp theo tiêu chí phân loại doanh nghiệp nhà nước chậm được triển khai. </w:t>
      </w:r>
      <w:r w:rsidR="00782B1C" w:rsidRPr="001D39AF">
        <w:rPr>
          <w:iCs/>
          <w:spacing w:val="-2"/>
        </w:rPr>
        <w:t xml:space="preserve">Còn tình trạng các dự án đầu tư của doanh nghiệp kém hiệu quả </w:t>
      </w:r>
      <w:r w:rsidRPr="001D39AF">
        <w:rPr>
          <w:iCs/>
          <w:spacing w:val="-2"/>
          <w:lang w:val="vi-VN"/>
        </w:rPr>
        <w:t>chưa được xử lý kịp thời, ảnh hưởng đến hiệu quả của nền kinh tế và nguồn thu ngân sách, đồng thời tạo rủi ro</w:t>
      </w:r>
      <w:r w:rsidR="00963D77" w:rsidRPr="001D39AF">
        <w:rPr>
          <w:iCs/>
          <w:spacing w:val="-2"/>
        </w:rPr>
        <w:t xml:space="preserve"> tài khóa NSĐP và </w:t>
      </w:r>
      <w:r w:rsidRPr="001D39AF">
        <w:rPr>
          <w:iCs/>
          <w:spacing w:val="-2"/>
          <w:lang w:val="vi-VN"/>
        </w:rPr>
        <w:t>an ninh tài chính quốc gia.</w:t>
      </w:r>
      <w:r w:rsidRPr="000331A6">
        <w:rPr>
          <w:iCs/>
          <w:spacing w:val="-2"/>
          <w:lang w:val="vi-VN"/>
        </w:rPr>
        <w:t xml:space="preserve"> </w:t>
      </w:r>
    </w:p>
    <w:p w:rsidR="00B516D7" w:rsidRDefault="0008064B" w:rsidP="00810273">
      <w:pPr>
        <w:rPr>
          <w:lang w:val="it-IT"/>
        </w:rPr>
      </w:pPr>
      <w:r w:rsidRPr="000331A6">
        <w:rPr>
          <w:b/>
          <w:i/>
          <w:lang w:val="zu-ZA"/>
        </w:rPr>
        <w:t>Thứ</w:t>
      </w:r>
      <w:r w:rsidR="002D6FF5" w:rsidRPr="000331A6">
        <w:rPr>
          <w:b/>
          <w:i/>
          <w:lang w:val="zu-ZA"/>
        </w:rPr>
        <w:t xml:space="preserve"> sáu</w:t>
      </w:r>
      <w:r w:rsidRPr="000331A6">
        <w:rPr>
          <w:b/>
          <w:i/>
          <w:lang w:val="zu-ZA"/>
        </w:rPr>
        <w:t>,</w:t>
      </w:r>
      <w:r w:rsidRPr="000331A6">
        <w:rPr>
          <w:lang w:val="zu-ZA"/>
        </w:rPr>
        <w:t xml:space="preserve"> </w:t>
      </w:r>
      <w:r w:rsidR="009B169D" w:rsidRPr="000331A6">
        <w:rPr>
          <w:iCs/>
          <w:spacing w:val="-2"/>
          <w:lang w:val="zu-ZA"/>
        </w:rPr>
        <w:t>chưa phân định rõ giữa NSNN với các quỹ tài chính nhà nước ngoài ngân sách; việc quản lý một số quỹ chưa hiệu quả</w:t>
      </w:r>
      <w:r w:rsidR="009B169D" w:rsidRPr="000331A6">
        <w:rPr>
          <w:lang w:val="it-IT"/>
        </w:rPr>
        <w:t xml:space="preserve">; trong đó: (i) nguồn thu, </w:t>
      </w:r>
      <w:r w:rsidR="009B169D" w:rsidRPr="000331A6">
        <w:rPr>
          <w:lang w:val="it-IT"/>
        </w:rPr>
        <w:lastRenderedPageBreak/>
        <w:t>nhiệm vụ chi của một số Quỹ chưa thực sự độc lập với NSNN; (ii) hiệu quả hoạt động của một số Quỹ hạn chế, chỉ thực hiện được một số nhiệm vụ đặt ra hoặc phải thay đổi nhiệm vụ, số vốn nhàn rỗi lớn</w:t>
      </w:r>
      <w:r w:rsidR="009B169D" w:rsidRPr="000331A6">
        <w:rPr>
          <w:rStyle w:val="FootnoteReference"/>
          <w:b/>
          <w:lang w:val="zu-ZA"/>
        </w:rPr>
        <w:footnoteReference w:id="57"/>
      </w:r>
      <w:r w:rsidR="009B169D" w:rsidRPr="000331A6">
        <w:rPr>
          <w:lang w:val="it-IT"/>
        </w:rPr>
        <w:t xml:space="preserve">; (iii) bộ máy quản lý </w:t>
      </w:r>
      <w:r w:rsidR="00280400" w:rsidRPr="000331A6">
        <w:rPr>
          <w:lang w:val="it-IT"/>
        </w:rPr>
        <w:t xml:space="preserve">một số Quỹ </w:t>
      </w:r>
      <w:r w:rsidR="009B169D" w:rsidRPr="000331A6">
        <w:rPr>
          <w:lang w:val="it-IT"/>
        </w:rPr>
        <w:t>yếu kém, hoạt động không hiệu quả; công tác giám sát, kiểm tra, thanh tra của cơ quan chức năng và địa phương đối với hoạt động của Quỹ chưa sát sao, thiếu thường xuyên.</w:t>
      </w:r>
    </w:p>
    <w:p w:rsidR="00B516D7" w:rsidRDefault="009B169D" w:rsidP="00810273">
      <w:pPr>
        <w:rPr>
          <w:lang w:val="nl-NL"/>
        </w:rPr>
      </w:pPr>
      <w:r w:rsidRPr="000331A6">
        <w:rPr>
          <w:b/>
          <w:i/>
          <w:lang w:val="zu-ZA"/>
        </w:rPr>
        <w:t>Thứ</w:t>
      </w:r>
      <w:r w:rsidR="002D6FF5" w:rsidRPr="000331A6">
        <w:rPr>
          <w:b/>
          <w:i/>
          <w:lang w:val="zu-ZA"/>
        </w:rPr>
        <w:t xml:space="preserve"> bảy</w:t>
      </w:r>
      <w:r w:rsidRPr="000331A6">
        <w:rPr>
          <w:b/>
          <w:i/>
          <w:lang w:val="zu-ZA"/>
        </w:rPr>
        <w:t xml:space="preserve">, </w:t>
      </w:r>
      <w:r w:rsidR="00171539" w:rsidRPr="000331A6">
        <w:rPr>
          <w:lang w:val="nl-NL"/>
        </w:rPr>
        <w:t>hiệu quả huy động các nguồn lực trong xã hội chưa cao</w:t>
      </w:r>
    </w:p>
    <w:p w:rsidR="00B516D7" w:rsidRDefault="00D07B94" w:rsidP="00810273">
      <w:pPr>
        <w:rPr>
          <w:spacing w:val="-2"/>
        </w:rPr>
      </w:pPr>
      <w:r w:rsidRPr="000331A6">
        <w:rPr>
          <w:lang w:val="vi-VN"/>
        </w:rPr>
        <w:t>Bội chi NSNN và nợ công đã giảm mạnh trong 5 năm qua. Tuy nhiên, nếu so với các nước trong khu vực thì bội chi NSNN của Việt Nam còn ở mức cao, chỉ sau Trung Quốc (kể cả trước và sau khi điều chỉnh quy mô GDP)</w:t>
      </w:r>
      <w:r w:rsidRPr="0099709B">
        <w:rPr>
          <w:rStyle w:val="FootnoteReference"/>
          <w:b/>
          <w:iCs/>
          <w:lang w:val="vi-VN"/>
        </w:rPr>
        <w:footnoteReference w:id="58"/>
      </w:r>
      <w:r w:rsidRPr="000331A6">
        <w:rPr>
          <w:lang w:val="vi-VN"/>
        </w:rPr>
        <w:t xml:space="preserve"> và đang chịu áp lực tăng do thu ngân sách có xu hướng tăng chậm lại, trong khi nhu cầu chi rất lớn. </w:t>
      </w:r>
      <w:r w:rsidRPr="000331A6">
        <w:rPr>
          <w:spacing w:val="-2"/>
          <w:lang w:val="vi-VN"/>
        </w:rPr>
        <w:t>Việc Việt Nam tốt nghiệp IDA khiến cho áp lực vay và trả nợ tăng.</w:t>
      </w:r>
      <w:r w:rsidRPr="000331A6">
        <w:rPr>
          <w:spacing w:val="-2"/>
        </w:rPr>
        <w:t xml:space="preserve"> </w:t>
      </w:r>
    </w:p>
    <w:p w:rsidR="00B516D7" w:rsidRDefault="00171539" w:rsidP="00810273">
      <w:r w:rsidRPr="000331A6">
        <w:rPr>
          <w:lang w:val="vi-VN"/>
        </w:rPr>
        <w:t xml:space="preserve">Doanh nghiệp tư nhân chủ yếu là nhỏ và siêu nhỏ, trình độ quản trị và công nghệ lạc hậu, khả năng cạnh tranh và hiệu quả hoạt động thấp, mức độ sẵn sàng và liên kết khu vực đầu tư nước ngoài hạn chế, chưa đáp ứng yêu cầu của chuỗi giá trị sản xuất khu vực và toàn cầu. Thu hút vốn đầu tư FDI đạt khá, nhưng các dự án phần lớn vẫn có quy mô nhỏ, công nghệ thấp, thâm dụng lao động, sử dụng lãng phí tài nguyên, đất đai, phân bố không đều, liên kết, tương tác với các khu vực khác của nền kinh tế thiếu chặt chẽ, hiệu ứng lan toả về năng suất và công nghệ chưa cao; tỉ lệ nội địa hoá còn thấp; tỉ trọng đóng góp cho ngân sách nhà nước có xu hướng giảm…Nguồn lực tài chính nhà nước chưa phát huy có hiệu quả vai trò </w:t>
      </w:r>
      <w:r w:rsidRPr="000A6D29">
        <w:rPr>
          <w:i/>
          <w:lang w:val="vi-VN"/>
        </w:rPr>
        <w:t>“tạo môi trường”</w:t>
      </w:r>
      <w:r w:rsidRPr="000331A6">
        <w:rPr>
          <w:lang w:val="vi-VN"/>
        </w:rPr>
        <w:t xml:space="preserve"> để thu hút sự tham gia đầu tư của các thành phần kinh tế khác, một số dự án hợp tác đối tác công tư (PPP) kém hiệu quả hoặc không huy động được vốn, phải xin chuyển đổi cơ chế sang cấp phát từ NSNN tạo thêm áp lực đối với chi ngân sách, nghĩa vụ nợ của </w:t>
      </w:r>
      <w:r w:rsidRPr="000331A6">
        <w:t>địa phương</w:t>
      </w:r>
      <w:r w:rsidRPr="000331A6">
        <w:rPr>
          <w:lang w:val="vi-VN"/>
        </w:rPr>
        <w:t xml:space="preserve">. </w:t>
      </w:r>
    </w:p>
    <w:p w:rsidR="00B516D7" w:rsidRDefault="00171539" w:rsidP="00810273">
      <w:r w:rsidRPr="000331A6">
        <w:rPr>
          <w:lang w:val="vi-VN"/>
        </w:rPr>
        <w:t>Trong thời gian qua, giải ngân vốn đầu tư công chậm, dự toán hàng năm vẫn ghi cao nhưng thực hiện thấp, dẫn đến bị động trong công tác huy động vốn, phải điều chỉnh kế hoạch hoặc dồn khối lượng huy động vào một số thời điểm.</w:t>
      </w:r>
      <w:bookmarkStart w:id="93" w:name="_Toc62654360"/>
      <w:bookmarkStart w:id="94" w:name="_Toc62657718"/>
    </w:p>
    <w:p w:rsidR="00CC534B" w:rsidRDefault="00CC534B" w:rsidP="00810273">
      <w:r w:rsidRPr="00CC534B">
        <w:rPr>
          <w:b/>
          <w:i/>
        </w:rPr>
        <w:t>Thứ tám</w:t>
      </w:r>
      <w:r>
        <w:t>, công tác quản lý nợ của chính quyền địa phương</w:t>
      </w:r>
      <w:r w:rsidR="00F82B50">
        <w:t xml:space="preserve"> </w:t>
      </w:r>
      <w:r>
        <w:t>còn hạn chế, cả về tổ chức bộ máy cũng như quản lý</w:t>
      </w:r>
      <w:r w:rsidR="00F82B50">
        <w:t xml:space="preserve"> </w:t>
      </w:r>
      <w:r w:rsidR="00F7020A">
        <w:t xml:space="preserve">(đặc biệt là công tác quản lý các khoản vay vốn ngoài nước) </w:t>
      </w:r>
      <w:r w:rsidR="00F82B50">
        <w:t xml:space="preserve">do gần đây các địa phương mới được tiếp cận nguồn vay lại từ Chính phủ vay nước ngoài (trước năm 2017, thực hiện quy định </w:t>
      </w:r>
      <w:r w:rsidR="00E80AB7">
        <w:t>của</w:t>
      </w:r>
      <w:r w:rsidR="00F82B50">
        <w:t xml:space="preserve"> Luật Ngân sách nhà nước năm 2002, các địa phương chỉ được huy động các nguồn vốn trong nước, đồng thời </w:t>
      </w:r>
      <w:r w:rsidR="001103AA">
        <w:t>tiếp cận</w:t>
      </w:r>
      <w:r w:rsidR="00F82B50">
        <w:t xml:space="preserve"> nguồn vốn ngoài nước thông qua ngân sách trung ương</w:t>
      </w:r>
      <w:r w:rsidR="001103AA">
        <w:t xml:space="preserve"> cấp phát</w:t>
      </w:r>
      <w:r w:rsidR="00E80AB7">
        <w:t>; từ năm 2017, thực hiện quy định của Luật Ngân sách nhà nước năm 2015, các địa phương mới được phép vay lại nguồn vốn Chính phủ vay nước ngoài và được phép bội chi NSĐP</w:t>
      </w:r>
      <w:r w:rsidR="001103AA">
        <w:t>).</w:t>
      </w:r>
    </w:p>
    <w:p w:rsidR="00B516D7" w:rsidRDefault="0008064B" w:rsidP="00810273">
      <w:pPr>
        <w:pStyle w:val="Heading2"/>
      </w:pPr>
      <w:bookmarkStart w:id="95" w:name="_Toc87619924"/>
      <w:r w:rsidRPr="00B516D7">
        <w:t>2. Nguyên nhân hạn chế, yếu kém</w:t>
      </w:r>
      <w:bookmarkStart w:id="96" w:name="_Toc62654361"/>
      <w:bookmarkEnd w:id="93"/>
      <w:bookmarkEnd w:id="94"/>
      <w:bookmarkEnd w:id="95"/>
    </w:p>
    <w:p w:rsidR="00B516D7" w:rsidRDefault="0008064B" w:rsidP="00810273">
      <w:pPr>
        <w:pStyle w:val="Heading3"/>
        <w:rPr>
          <w:lang w:val="nl-NL"/>
        </w:rPr>
      </w:pPr>
      <w:r w:rsidRPr="00B516D7">
        <w:rPr>
          <w:lang w:val="nl-NL"/>
        </w:rPr>
        <w:lastRenderedPageBreak/>
        <w:t>2.1. Nguyên nhân khách quan</w:t>
      </w:r>
      <w:bookmarkEnd w:id="96"/>
    </w:p>
    <w:p w:rsidR="00B516D7" w:rsidRDefault="0008064B" w:rsidP="00810273">
      <w:pPr>
        <w:rPr>
          <w:lang w:val="nl-NL" w:eastAsia="vi-VN"/>
        </w:rPr>
      </w:pPr>
      <w:r w:rsidRPr="000331A6">
        <w:rPr>
          <w:lang w:val="nl-NL" w:eastAsia="vi-VN"/>
        </w:rPr>
        <w:t>Tình hình thế giới diễn biến nhanh, phức tạp, khó lường; căng thẳng biển Đông gia tăng đe dọa an ninh chủ quyền và môi trường hòa bình trong khu vực;  kinh tế thương mại phục hồi chậm, rủi ro tăng</w:t>
      </w:r>
      <w:r w:rsidR="007230E6" w:rsidRPr="000331A6">
        <w:rPr>
          <w:lang w:val="nl-NL" w:eastAsia="vi-VN"/>
        </w:rPr>
        <w:t>.</w:t>
      </w:r>
    </w:p>
    <w:p w:rsidR="00B516D7" w:rsidRDefault="0008064B" w:rsidP="00810273">
      <w:pPr>
        <w:rPr>
          <w:lang w:val="nl-NL" w:eastAsia="vi-VN"/>
        </w:rPr>
      </w:pPr>
      <w:r w:rsidRPr="000331A6">
        <w:rPr>
          <w:lang w:val="vi-VN" w:eastAsia="vi-VN"/>
        </w:rPr>
        <w:t xml:space="preserve">Xuất phát điểm phát triển và năng lực </w:t>
      </w:r>
      <w:r w:rsidRPr="000331A6">
        <w:rPr>
          <w:lang w:val="nl-NL" w:eastAsia="vi-VN"/>
        </w:rPr>
        <w:t xml:space="preserve">tài chính </w:t>
      </w:r>
      <w:r w:rsidRPr="000331A6">
        <w:rPr>
          <w:lang w:val="vi-VN" w:eastAsia="vi-VN"/>
        </w:rPr>
        <w:t xml:space="preserve">nội tại của </w:t>
      </w:r>
      <w:r w:rsidRPr="000331A6">
        <w:rPr>
          <w:lang w:val="nl-NL" w:eastAsia="vi-VN"/>
        </w:rPr>
        <w:t>nền kinh tế</w:t>
      </w:r>
      <w:r w:rsidRPr="000331A6">
        <w:rPr>
          <w:lang w:val="vi-VN" w:eastAsia="vi-VN"/>
        </w:rPr>
        <w:t xml:space="preserve"> còn thấp</w:t>
      </w:r>
      <w:r w:rsidRPr="000331A6">
        <w:rPr>
          <w:lang w:val="nl-NL" w:eastAsia="vi-VN"/>
        </w:rPr>
        <w:t>;</w:t>
      </w:r>
      <w:r w:rsidRPr="000331A6">
        <w:rPr>
          <w:lang w:val="vi-VN" w:eastAsia="vi-VN"/>
        </w:rPr>
        <w:t xml:space="preserve"> hạn chế về năng lực quản trị kinh doanh và văn hoá doanh nghiệp, đạo đức doanh nhân</w:t>
      </w:r>
      <w:r w:rsidRPr="000331A6">
        <w:rPr>
          <w:lang w:val="nl-NL" w:eastAsia="vi-VN"/>
        </w:rPr>
        <w:t xml:space="preserve">; </w:t>
      </w:r>
      <w:r w:rsidRPr="000331A6">
        <w:rPr>
          <w:lang w:val="vi-VN" w:eastAsia="vi-VN"/>
        </w:rPr>
        <w:t>tư tưởng trông chờ, ỷ lại vào Nhà nước trong thụ hưởng dịch vụ sự nghiệp công còn phổ biến.</w:t>
      </w:r>
      <w:r w:rsidRPr="000331A6">
        <w:rPr>
          <w:lang w:val="nl-NL" w:eastAsia="vi-VN"/>
        </w:rPr>
        <w:t xml:space="preserve"> Kết quả tổng điều tra kinh tế 2017, thì chỉ có </w:t>
      </w:r>
      <w:r w:rsidRPr="000331A6">
        <w:rPr>
          <w:b/>
          <w:lang w:val="nl-NL" w:eastAsia="vi-VN"/>
        </w:rPr>
        <w:t>1,9%</w:t>
      </w:r>
      <w:r w:rsidRPr="000331A6">
        <w:rPr>
          <w:lang w:val="nl-NL" w:eastAsia="vi-VN"/>
        </w:rPr>
        <w:t xml:space="preserve"> là doanh nghiệp lớn; </w:t>
      </w:r>
      <w:r w:rsidRPr="000331A6">
        <w:rPr>
          <w:b/>
          <w:lang w:val="nl-NL" w:eastAsia="vi-VN"/>
        </w:rPr>
        <w:t>98,1%</w:t>
      </w:r>
      <w:r w:rsidRPr="000331A6">
        <w:rPr>
          <w:lang w:val="nl-NL" w:eastAsia="vi-VN"/>
        </w:rPr>
        <w:t xml:space="preserve"> là doanh nghiệp vừa và nhỏ.</w:t>
      </w:r>
    </w:p>
    <w:p w:rsidR="00B516D7" w:rsidRDefault="0008064B" w:rsidP="00810273">
      <w:pPr>
        <w:rPr>
          <w:lang w:val="nl-NL"/>
        </w:rPr>
      </w:pPr>
      <w:r w:rsidRPr="000331A6">
        <w:rPr>
          <w:lang w:val="nl-NL"/>
        </w:rPr>
        <w:t xml:space="preserve">Cơ cấu lại nền kinh tế, trong đó cơ cấu lại các </w:t>
      </w:r>
      <w:r w:rsidRPr="000331A6">
        <w:rPr>
          <w:lang w:val="de-DE"/>
        </w:rPr>
        <w:t>tổ chức tín dụng</w:t>
      </w:r>
      <w:r w:rsidRPr="000331A6">
        <w:rPr>
          <w:lang w:val="nl-NL"/>
        </w:rPr>
        <w:t>, doanh nghiệp nhà nước cần thời gian; hiệu quả đầu tư, kinh doanh khu vực doanh nghiệp nhà nước chậm cải thiện</w:t>
      </w:r>
      <w:r w:rsidR="007230E6" w:rsidRPr="000331A6">
        <w:rPr>
          <w:lang w:val="nl-NL"/>
        </w:rPr>
        <w:t>.</w:t>
      </w:r>
      <w:bookmarkStart w:id="97" w:name="_Toc62654362"/>
    </w:p>
    <w:p w:rsidR="00B516D7" w:rsidRPr="00B516D7" w:rsidRDefault="0008064B" w:rsidP="00810273">
      <w:pPr>
        <w:pStyle w:val="Heading3"/>
        <w:rPr>
          <w:lang w:val="nl-NL"/>
        </w:rPr>
      </w:pPr>
      <w:r w:rsidRPr="00B516D7">
        <w:rPr>
          <w:lang w:val="nl-NL"/>
        </w:rPr>
        <w:t>2.2. Nguyên nhân chủ quan</w:t>
      </w:r>
      <w:bookmarkEnd w:id="97"/>
    </w:p>
    <w:p w:rsidR="00B516D7" w:rsidRDefault="0008064B" w:rsidP="00810273">
      <w:pPr>
        <w:rPr>
          <w:lang w:val="nl-NL"/>
        </w:rPr>
      </w:pPr>
      <w:r w:rsidRPr="000331A6">
        <w:rPr>
          <w:lang w:val="nl-NL"/>
        </w:rPr>
        <w:t>Nhận thức về nền kinh tế thị trường định hướng xã hội chủ nghĩa chưa đủ</w:t>
      </w:r>
      <w:r w:rsidR="00EF5FA1">
        <w:rPr>
          <w:lang w:val="nl-NL"/>
        </w:rPr>
        <w:t xml:space="preserve"> rõ</w:t>
      </w:r>
      <w:r w:rsidRPr="000331A6">
        <w:rPr>
          <w:lang w:val="nl-NL"/>
        </w:rPr>
        <w:t>; năng lực phân tích, dự báo còn hạn chế, việc xây dựng và thực thi thể chế còn nhiều bất cập, chưa theo kịp với sự phát triển của nền kinh tế thị trường.</w:t>
      </w:r>
    </w:p>
    <w:p w:rsidR="00B516D7" w:rsidRDefault="0008064B" w:rsidP="00810273">
      <w:pPr>
        <w:rPr>
          <w:lang w:val="nl-NL"/>
        </w:rPr>
      </w:pPr>
      <w:r w:rsidRPr="000331A6">
        <w:rPr>
          <w:lang w:val="nl-NL"/>
        </w:rPr>
        <w:t>Tính quyết liệt, đổi mới, nhất quán trong nhận thức và hành động của một bộ phận cán bộ còn chưa cao</w:t>
      </w:r>
      <w:r w:rsidR="00B516D7">
        <w:rPr>
          <w:lang w:val="nl-NL"/>
        </w:rPr>
        <w:t>.</w:t>
      </w:r>
    </w:p>
    <w:p w:rsidR="00B516D7" w:rsidRDefault="0008064B" w:rsidP="00810273">
      <w:pPr>
        <w:rPr>
          <w:lang w:val="nl-NL" w:eastAsia="vi-VN"/>
        </w:rPr>
      </w:pPr>
      <w:r w:rsidRPr="000331A6">
        <w:rPr>
          <w:lang w:val="nl-NL" w:eastAsia="vi-VN"/>
        </w:rPr>
        <w:t xml:space="preserve">Hiệu lực, hiệu quả công tác thanh tra, kiểm tra, giám sát, kiểm toán của các cơ quan quản lý nhà nước cần được nâng cao. </w:t>
      </w:r>
    </w:p>
    <w:p w:rsidR="00D835BD" w:rsidRPr="000331A6" w:rsidRDefault="0008064B" w:rsidP="00810273">
      <w:pPr>
        <w:rPr>
          <w:lang w:val="it-IT"/>
        </w:rPr>
      </w:pPr>
      <w:r w:rsidRPr="000331A6">
        <w:rPr>
          <w:b/>
          <w:i/>
          <w:lang w:val="it-IT"/>
        </w:rPr>
        <w:t>Tóm lại,</w:t>
      </w:r>
      <w:r w:rsidRPr="000331A6">
        <w:rPr>
          <w:lang w:val="it-IT"/>
        </w:rPr>
        <w:t xml:space="preserve"> kết quả thực hiện </w:t>
      </w:r>
      <w:r w:rsidR="00996F7C" w:rsidRPr="000331A6">
        <w:rPr>
          <w:lang w:val="it-IT"/>
        </w:rPr>
        <w:t xml:space="preserve">công tác quản lý NSĐP, vay, nợ </w:t>
      </w:r>
      <w:r w:rsidR="004F2248" w:rsidRPr="000331A6">
        <w:rPr>
          <w:lang w:val="it-IT"/>
        </w:rPr>
        <w:t>0</w:t>
      </w:r>
      <w:r w:rsidRPr="000331A6">
        <w:rPr>
          <w:lang w:val="it-IT"/>
        </w:rPr>
        <w:t>5 năm qua tương đối toàn diện</w:t>
      </w:r>
      <w:r w:rsidR="00C62C85" w:rsidRPr="000331A6">
        <w:rPr>
          <w:lang w:val="it-IT"/>
        </w:rPr>
        <w:t xml:space="preserve">, </w:t>
      </w:r>
      <w:r w:rsidRPr="000331A6">
        <w:rPr>
          <w:lang w:val="it-IT"/>
        </w:rPr>
        <w:t xml:space="preserve">chính sách tài chính đã phát huy vai trò tích cực, qua đó góp phần tăng cường ổn định vĩ mô, hỗ trợ nền kinh tế; tháo gỡ khó khăn cho doanh nghiệp, thu hút các dòng vốn đầu tư mới; thúc đẩy tái cơ cấu nền kinh tế; đẩy mạnh đầu tư phát triển hạ tầng kinh tế </w:t>
      </w:r>
      <w:r w:rsidR="004F2248" w:rsidRPr="000331A6">
        <w:rPr>
          <w:lang w:val="it-IT"/>
        </w:rPr>
        <w:t xml:space="preserve">- </w:t>
      </w:r>
      <w:r w:rsidRPr="000331A6">
        <w:rPr>
          <w:lang w:val="it-IT"/>
        </w:rPr>
        <w:t>xã hội, trong đó ưu tiên cho hạ tầng nông nghiệp, nông thôn, hạ tầng giao thông, thủy lợi; mở rộng và nâng cao mức đảm bảo an sinh xã hội, thực hiện cải cách tiền lương theo lộ trình, thúc đẩy đổi mới sắp xếp lại tổ chức bộ máy, tinh giản biên chế, đổi mới khu vực sự nghiệp công, tăng cường kỷ luật kỷ cương tài chính - NSNN. Tuy nhiên, tỷ trọng huy động ngân sách từ thuế, phí của nền kinh tế có xu hướng giảm;</w:t>
      </w:r>
      <w:r w:rsidR="00AB6A00" w:rsidRPr="000331A6">
        <w:rPr>
          <w:lang w:val="it-IT"/>
        </w:rPr>
        <w:t xml:space="preserve"> khoảng cách giàu nghèo giữa các địa phương ngày càng lớn,</w:t>
      </w:r>
      <w:r w:rsidRPr="000331A6">
        <w:rPr>
          <w:lang w:val="it-IT"/>
        </w:rPr>
        <w:t xml:space="preserve"> đang là những vấn đề cần phải được đặt ra, xem xét để có những điều chỉnh cho phù hợp với giai đoạn tới.</w:t>
      </w:r>
    </w:p>
    <w:p w:rsidR="00543015" w:rsidRPr="00DD2FDB" w:rsidRDefault="00543015" w:rsidP="007E13B0">
      <w:pPr>
        <w:pStyle w:val="Heading1"/>
        <w:rPr>
          <w:highlight w:val="yellow"/>
        </w:rPr>
        <w:sectPr w:rsidR="00543015" w:rsidRPr="00DD2FDB" w:rsidSect="00224BAF">
          <w:pgSz w:w="11907" w:h="16840" w:code="9"/>
          <w:pgMar w:top="1077" w:right="1021" w:bottom="1021" w:left="1588" w:header="510" w:footer="0" w:gutter="0"/>
          <w:pgNumType w:chapStyle="1"/>
          <w:cols w:space="720"/>
          <w:titlePg/>
          <w:docGrid w:linePitch="381"/>
        </w:sectPr>
      </w:pPr>
    </w:p>
    <w:p w:rsidR="00D835BD" w:rsidRPr="009F461F" w:rsidRDefault="0008064B" w:rsidP="007E13B0">
      <w:pPr>
        <w:pStyle w:val="Title"/>
      </w:pPr>
      <w:bookmarkStart w:id="98" w:name="_Toc62654426"/>
      <w:bookmarkStart w:id="99" w:name="_Toc62657719"/>
      <w:bookmarkStart w:id="100" w:name="_Toc87619925"/>
      <w:r w:rsidRPr="009F461F">
        <w:lastRenderedPageBreak/>
        <w:t>Phần II</w:t>
      </w:r>
      <w:bookmarkEnd w:id="98"/>
      <w:bookmarkEnd w:id="99"/>
      <w:bookmarkEnd w:id="100"/>
    </w:p>
    <w:p w:rsidR="00D835BD" w:rsidRPr="009F461F" w:rsidRDefault="0008064B" w:rsidP="007E13B0">
      <w:pPr>
        <w:pStyle w:val="Title"/>
      </w:pPr>
      <w:bookmarkStart w:id="101" w:name="_Toc62657720"/>
      <w:bookmarkStart w:id="102" w:name="_Toc87619926"/>
      <w:r w:rsidRPr="009F461F">
        <w:t>PHƯƠNG HƯỚNG</w:t>
      </w:r>
      <w:r w:rsidR="00B5001E">
        <w:t>,</w:t>
      </w:r>
      <w:r w:rsidRPr="009F461F">
        <w:t xml:space="preserve"> NHIỆM VỤ CÔNG TÁC QUẢN LÝ</w:t>
      </w:r>
      <w:r w:rsidR="005D034E" w:rsidRPr="009F461F">
        <w:t xml:space="preserve"> </w:t>
      </w:r>
      <w:r w:rsidRPr="009F461F">
        <w:t>NỢ</w:t>
      </w:r>
      <w:r w:rsidR="005D034E" w:rsidRPr="009F461F">
        <w:t xml:space="preserve"> </w:t>
      </w:r>
      <w:r w:rsidRPr="009F461F">
        <w:t>VÀ GIÁM SÁT RỦI RO TÀI KHÓA NGÂN SÁCH ĐỊA PHƯƠNG N</w:t>
      </w:r>
      <w:r w:rsidR="007A0F10" w:rsidRPr="009F461F">
        <w:t>ĂM</w:t>
      </w:r>
      <w:r w:rsidRPr="009F461F">
        <w:t xml:space="preserve"> 2021</w:t>
      </w:r>
      <w:r w:rsidR="00645A79">
        <w:t xml:space="preserve"> </w:t>
      </w:r>
      <w:r w:rsidRPr="009F461F">
        <w:t>-</w:t>
      </w:r>
      <w:r w:rsidR="00645A79">
        <w:t xml:space="preserve"> </w:t>
      </w:r>
      <w:r w:rsidRPr="009F461F">
        <w:t>2022</w:t>
      </w:r>
      <w:bookmarkEnd w:id="101"/>
      <w:bookmarkEnd w:id="102"/>
    </w:p>
    <w:p w:rsidR="00D835BD" w:rsidRPr="00DD2FDB" w:rsidRDefault="00D835BD" w:rsidP="007E13B0">
      <w:pPr>
        <w:rPr>
          <w:lang w:val="it-IT"/>
        </w:rPr>
      </w:pPr>
    </w:p>
    <w:p w:rsidR="00D835BD" w:rsidRPr="00D80876" w:rsidRDefault="0008064B" w:rsidP="00224BAF">
      <w:pPr>
        <w:pStyle w:val="Heading1"/>
      </w:pPr>
      <w:bookmarkStart w:id="103" w:name="_Toc62654363"/>
      <w:bookmarkStart w:id="104" w:name="_Toc62657721"/>
      <w:bookmarkStart w:id="105" w:name="_Toc87619927"/>
      <w:r w:rsidRPr="00D80876">
        <w:t>I. DỰ BÁO BỐI CẢNH PHÁT TRIỂN KINH TẾ - XÃ HỘI:</w:t>
      </w:r>
      <w:bookmarkEnd w:id="103"/>
      <w:bookmarkEnd w:id="104"/>
      <w:bookmarkEnd w:id="105"/>
    </w:p>
    <w:p w:rsidR="002045EF" w:rsidRDefault="008F0B1F" w:rsidP="00224BAF">
      <w:pPr>
        <w:rPr>
          <w:lang w:val="es-BO"/>
        </w:rPr>
      </w:pPr>
      <w:r w:rsidRPr="00D80876">
        <w:rPr>
          <w:lang w:val="es-BO"/>
        </w:rPr>
        <w:t>T</w:t>
      </w:r>
      <w:r w:rsidR="00916717" w:rsidRPr="00D80876">
        <w:rPr>
          <w:lang w:val="es-BO"/>
        </w:rPr>
        <w:t xml:space="preserve">rong bối cảnh dịch Covid-19 tiếp tục tác động nghiêm trọng đến kinh tế thế giới và trong nước. Chương trình tiêm phòng Covid-19 và các biện pháp kích thích kinh tế ở các nền kinh tế lớn, tạo động lực thúc đẩy tăng trưởng kinh tế toàn cầu. Quỹ Tiền tệ quốc tế (IMF) dự báo tăng trưởng kinh tế thế giới năm 2021 là </w:t>
      </w:r>
      <w:r w:rsidR="00916717" w:rsidRPr="00D80876">
        <w:rPr>
          <w:lang w:val="it-IT"/>
        </w:rPr>
        <w:t>6,0%</w:t>
      </w:r>
      <w:r w:rsidR="00916717" w:rsidRPr="00D80876">
        <w:rPr>
          <w:rStyle w:val="FootnoteReference"/>
          <w:b/>
          <w:lang w:val="it-IT"/>
        </w:rPr>
        <w:footnoteReference w:id="59"/>
      </w:r>
      <w:r w:rsidR="00916717" w:rsidRPr="00D80876">
        <w:rPr>
          <w:lang w:val="it-IT"/>
        </w:rPr>
        <w:t>; Ngân hàng Thế giới (WB) dự báo là 5,6%</w:t>
      </w:r>
      <w:r w:rsidR="00916717" w:rsidRPr="00D80876">
        <w:rPr>
          <w:rStyle w:val="FootnoteReference"/>
          <w:b/>
          <w:lang w:val="it-IT"/>
        </w:rPr>
        <w:footnoteReference w:id="60"/>
      </w:r>
      <w:r w:rsidR="00916717" w:rsidRPr="00D80876">
        <w:rPr>
          <w:lang w:val="it-IT"/>
        </w:rPr>
        <w:t xml:space="preserve">. </w:t>
      </w:r>
      <w:r w:rsidR="00916717" w:rsidRPr="00D80876">
        <w:rPr>
          <w:lang w:val="es-BO"/>
        </w:rPr>
        <w:t>Tuy nhiên, đà phục hồi của kinh tế thế giới không đồng đều giữa các quốc gia và chưa thực sự vững chắc, phụ thuộc nhiều vào vấn đề kiểm soát dịch bệnh Covid-19; rủi ro về tài chính, nợ công, áp lực gia tăng lạm phát.</w:t>
      </w:r>
    </w:p>
    <w:p w:rsidR="006B17D0" w:rsidRPr="00D80876" w:rsidRDefault="006B17D0" w:rsidP="00224BAF">
      <w:pPr>
        <w:rPr>
          <w:lang w:val="it-IT"/>
        </w:rPr>
      </w:pPr>
      <w:r w:rsidRPr="00D80876">
        <w:rPr>
          <w:lang w:val="it-IT"/>
        </w:rPr>
        <w:t xml:space="preserve">Ngân hàng Thế giới (tháng </w:t>
      </w:r>
      <w:r w:rsidR="006F3D56">
        <w:rPr>
          <w:lang w:val="it-IT"/>
        </w:rPr>
        <w:t>10</w:t>
      </w:r>
      <w:r w:rsidRPr="00D80876">
        <w:rPr>
          <w:lang w:val="it-IT"/>
        </w:rPr>
        <w:t xml:space="preserve"> năm 2021) dự báo tăng trưởng kinh tế thế giới năm 2022 ở mức </w:t>
      </w:r>
      <w:r w:rsidR="006F3D56" w:rsidRPr="005D2403">
        <w:rPr>
          <w:lang w:val="it-IT"/>
        </w:rPr>
        <w:t>2-2,5</w:t>
      </w:r>
      <w:r w:rsidRPr="00D80876">
        <w:rPr>
          <w:lang w:val="it-IT"/>
        </w:rPr>
        <w:t>%, Tổ chức Hợp tác và Phát triển kinh tế (tháng 05 năm 2021) dự báo ở mức 4,4%, Quỹ tiền tệ thế giới (tháng 7 năm 2021) dự báo khoảng 4,9%. Dù vậy, thế giới vẫn đối mặt với nhiều rủi ro, đặc biệt là việc kiểm soát hiệu quả sự lây lan của các biến chủng vi-rút SARS-CoV-2, việc phân phối và tiếp cận vắc-xin kịp thời, đầy đủ, công bằng giữa các quốc gia, khu vực. Bên cạnh đó, xu hướng cạnh tranh chiến lược gay gắt giữa các nền kinh tế lớn, biến đổi khí hậu, thời tiết cực đoan và các dịch bệnh khác cũng ảnh hưởng tới sự phục hồi của nhiều nền kinh tế.</w:t>
      </w:r>
    </w:p>
    <w:p w:rsidR="00916717" w:rsidRPr="00D80876" w:rsidRDefault="00916717" w:rsidP="00224BAF">
      <w:pPr>
        <w:rPr>
          <w:lang w:val="es-NI"/>
        </w:rPr>
      </w:pPr>
      <w:r w:rsidRPr="00D80876">
        <w:rPr>
          <w:lang w:val="nl-NL"/>
        </w:rPr>
        <w:t>Trong nước</w:t>
      </w:r>
      <w:r w:rsidR="005A37BD" w:rsidRPr="00D80876">
        <w:rPr>
          <w:lang w:val="nl-NL"/>
        </w:rPr>
        <w:t>, d</w:t>
      </w:r>
      <w:r w:rsidRPr="00D80876">
        <w:rPr>
          <w:lang w:val="sq-AL"/>
        </w:rPr>
        <w:t xml:space="preserve">ưới sự giám sát chặt chẽ của Quốc hội, sự chỉ đạo sát sao, kịp thời của Chính phủ, Thủ </w:t>
      </w:r>
      <w:r w:rsidRPr="00D80876">
        <w:rPr>
          <w:lang w:val="es-NI"/>
        </w:rPr>
        <w:t>tướng</w:t>
      </w:r>
      <w:r w:rsidRPr="00D80876">
        <w:rPr>
          <w:lang w:val="sq-AL"/>
        </w:rPr>
        <w:t xml:space="preserve"> Chính phủ; </w:t>
      </w:r>
      <w:r w:rsidRPr="00D80876">
        <w:rPr>
          <w:lang w:val="es-NI"/>
        </w:rPr>
        <w:t xml:space="preserve">cùng với sự vào cuộc của cả hệ thống chính trị từ trung ương đến địa phương, sự đoàn kết, đồng lòng của cộng đồng doanh nghiệp và nhân dân thực hiện nghiêm túc, hiệu quả các giải pháp đã đề ra để thực hiện </w:t>
      </w:r>
      <w:r w:rsidRPr="00196679">
        <w:rPr>
          <w:i/>
          <w:lang w:val="es-NI"/>
        </w:rPr>
        <w:t>“mục tiêu kép”</w:t>
      </w:r>
      <w:r w:rsidRPr="00D80876">
        <w:rPr>
          <w:i/>
          <w:lang w:val="es-NI"/>
        </w:rPr>
        <w:t xml:space="preserve"> </w:t>
      </w:r>
      <w:r w:rsidRPr="00D80876">
        <w:rPr>
          <w:lang w:val="es-NI"/>
        </w:rPr>
        <w:t>- vừa phòng chống dịch bệnh, vừa duy trì, phục hồi và phát triển các hoạt động kinh tế - xã hội và đảm bảo đời sống nhân dân. N</w:t>
      </w:r>
      <w:r w:rsidRPr="00D80876">
        <w:rPr>
          <w:lang w:val="nl-NL"/>
        </w:rPr>
        <w:t xml:space="preserve">ền kinh tế tiếp tục khởi sắc trên đà phục hồi từ cuối năm 2020; kinh tế vĩ mô tiếp tục được duy trì ổn định, </w:t>
      </w:r>
      <w:r w:rsidR="005A37BD" w:rsidRPr="00D80876">
        <w:rPr>
          <w:lang w:val="nl-NL"/>
        </w:rPr>
        <w:t xml:space="preserve">Ngân hàng Thế giới (tháng 8/2021) dự báo tăng trưởng kinh tế Việt Nam năm 2021 khoảng 4,8%; Chính phủ dự kiến khoảng 3,5-4%, </w:t>
      </w:r>
      <w:r w:rsidRPr="00D80876">
        <w:rPr>
          <w:lang w:val="nl-NL"/>
        </w:rPr>
        <w:t xml:space="preserve">các cân đối lớn của nền kinh tế được đảm bảo; </w:t>
      </w:r>
      <w:r w:rsidRPr="00D80876">
        <w:rPr>
          <w:lang w:val="sq-AL"/>
        </w:rPr>
        <w:t xml:space="preserve">công tác chăm sóc sức khỏe nhân dân, an sinh xã hội được quan tâm thực hiện tốt; quốc phòng, an ninh, trật tự xã hội được giữ vững. </w:t>
      </w:r>
      <w:r w:rsidRPr="00D80876">
        <w:rPr>
          <w:lang w:val="es-NI"/>
        </w:rPr>
        <w:t xml:space="preserve">Việt Nam là quốc gia duy nhất trong các nước được cả 3 tổ chức xếp hạng tín nhiệm quốc gia giữ nguyên hệ số tín nhiệm và nâng triển vọng lên mức tích cực. </w:t>
      </w:r>
    </w:p>
    <w:p w:rsidR="00A36CAA" w:rsidRPr="00D80876" w:rsidRDefault="00AE356B" w:rsidP="00224BAF">
      <w:pPr>
        <w:pStyle w:val="norm"/>
        <w:ind w:firstLine="720"/>
      </w:pPr>
      <w:r w:rsidRPr="00D80876">
        <w:lastRenderedPageBreak/>
        <w:t xml:space="preserve">Mặc dù đạt được những kết quả tích cực các tháng đầu năm 2021, tuy nhiên, đợt bùng phát dịch </w:t>
      </w:r>
      <w:r w:rsidRPr="00D80876">
        <w:rPr>
          <w:shd w:val="clear" w:color="auto" w:fill="FFFFFF"/>
        </w:rPr>
        <w:t>Covid-19 lần thứ tư với biến chủng Delta có diễn biến phức tạp trên diện rộng trong suốt quý II, quý III/2021 đã ảnh hưởng nghiêm trọng đến nền kinh tế,</w:t>
      </w:r>
      <w:r w:rsidRPr="00D80876">
        <w:t xml:space="preserve"> khiến dư địa nguồn lực của cả khu vực nhà nước, doanh nghiệp và người dân bị suy giảm</w:t>
      </w:r>
      <w:r w:rsidRPr="00D80876">
        <w:rPr>
          <w:shd w:val="clear" w:color="auto" w:fill="FFFFFF"/>
        </w:rPr>
        <w:t xml:space="preserve">. </w:t>
      </w:r>
      <w:r w:rsidRPr="00D80876">
        <w:t>N</w:t>
      </w:r>
      <w:r w:rsidR="00A36CAA" w:rsidRPr="00D80876">
        <w:t>ền kinh tế</w:t>
      </w:r>
      <w:r w:rsidR="000E4421" w:rsidRPr="00D80876">
        <w:t xml:space="preserve"> nước ta</w:t>
      </w:r>
      <w:r w:rsidRPr="00D80876">
        <w:t xml:space="preserve"> </w:t>
      </w:r>
      <w:r w:rsidR="00A36CAA" w:rsidRPr="00D80876">
        <w:t>vẫn còn tồn tại, hạn chế và tiềm ẩn nhiều rủi ro, nguy cơ tụt hậu, mắc kẹt trong bẫy thu nhập trung bình còn lớn; trình độ khoa học, công nghệ, năng suất, hiệu quả và sức cạnh tranh còn thấp, độ mở nền kinh tế cao, khả năng chống chịu, thích ứng với tác động bên ngoài còn yếu; năng lực tiếp cận nền kinh tế số, xã hội số còn hạn chế. Quá trình đô thị hóa tiếp tục diễn ra nhanh, tạo sức ép lớn về phát triển hạ tầng và xử lý ô nhiễm môi trường. Chênh lệch giàu – nghèo và trình độ phát triển giữa một số vùng, miền, địa phương có xu hướng doãng rộng. Già hóa dân số tăng nhanh dẫn đến áp lực lên hệ thống an sinh xã hội và tác động đến tăng trưởng kinh tế. Bên cạnh đó, tác động của biến đổi khí hậu, thiên tai, dịch bệnh, ô nhiễm môi trường, các rủi ro về quốc phòng, an ninh cũng là những lực cản cho phát triển kinh tế, tạo sức ép lớn về tài chính - ngân sách.</w:t>
      </w:r>
    </w:p>
    <w:p w:rsidR="00A36CAA" w:rsidRPr="00D80876" w:rsidRDefault="00A36CAA" w:rsidP="00224BAF">
      <w:pPr>
        <w:pStyle w:val="norm"/>
        <w:ind w:firstLine="720"/>
        <w:rPr>
          <w:shd w:val="clear" w:color="auto" w:fill="FFFFFF"/>
        </w:rPr>
      </w:pPr>
      <w:r w:rsidRPr="00D80876">
        <w:rPr>
          <w:shd w:val="clear" w:color="auto" w:fill="FFFFFF"/>
        </w:rPr>
        <w:t>Việc phục hồi tăng trưởng phụ thuộc nhiều vào kiểm soát dịch bệnh, ban hành các giải pháp kịp thời, hiệu quả để hỗ trợ các hoạt động sản xuất - kinh doanh, cũng như xử lý tốt các vấn đề phát sinh từ tình hình thế giới, vấn đề Biển Đông và các thách thức an ninh phi truyền thống khác.</w:t>
      </w:r>
    </w:p>
    <w:p w:rsidR="00D835BD" w:rsidRPr="00D80876" w:rsidRDefault="0008064B" w:rsidP="00224BAF">
      <w:pPr>
        <w:pStyle w:val="Heading1"/>
      </w:pPr>
      <w:bookmarkStart w:id="106" w:name="_Toc62654364"/>
      <w:bookmarkStart w:id="107" w:name="_Toc62657722"/>
      <w:bookmarkStart w:id="108" w:name="_Toc87619928"/>
      <w:r w:rsidRPr="00D80876">
        <w:t>II. MỤC TIÊU VÀ YÊU CẦU CÔNG TÁC QUẢN LÝ NỢ VÀ GIÁM SÁT RỦI RO TÀI KHÓA NGÂN SÁCH ĐỊA PHƯƠNG</w:t>
      </w:r>
      <w:bookmarkEnd w:id="106"/>
      <w:bookmarkEnd w:id="107"/>
      <w:bookmarkEnd w:id="108"/>
    </w:p>
    <w:p w:rsidR="00D835BD" w:rsidRPr="00D80876" w:rsidRDefault="0008064B" w:rsidP="00224BAF">
      <w:pPr>
        <w:pStyle w:val="Heading2"/>
      </w:pPr>
      <w:bookmarkStart w:id="109" w:name="_Toc62654365"/>
      <w:bookmarkStart w:id="110" w:name="_Toc62657723"/>
      <w:bookmarkStart w:id="111" w:name="_Toc87619929"/>
      <w:r w:rsidRPr="00D80876">
        <w:t>1. Mục tiêu:</w:t>
      </w:r>
      <w:bookmarkEnd w:id="109"/>
      <w:bookmarkEnd w:id="110"/>
      <w:bookmarkEnd w:id="111"/>
      <w:r w:rsidRPr="00D80876">
        <w:t xml:space="preserve"> </w:t>
      </w:r>
    </w:p>
    <w:p w:rsidR="00D21CAF" w:rsidRPr="00D80876" w:rsidRDefault="00D21CAF" w:rsidP="00224BAF">
      <w:pPr>
        <w:rPr>
          <w:bCs/>
          <w:lang w:val="it-IT"/>
        </w:rPr>
      </w:pPr>
      <w:r w:rsidRPr="00D80876">
        <w:rPr>
          <w:lang w:val="it-IT"/>
        </w:rPr>
        <w:t xml:space="preserve">Căn cứ </w:t>
      </w:r>
      <w:r w:rsidR="00EB002F">
        <w:rPr>
          <w:lang w:val="it-IT"/>
        </w:rPr>
        <w:t>C</w:t>
      </w:r>
      <w:r w:rsidRPr="00D80876">
        <w:rPr>
          <w:lang w:val="it-IT"/>
        </w:rPr>
        <w:t>hương trình hành động của Chính phủ triển khai thực hiện Nghị quyết của Đảng, Quốc hội về phát triển kinh tế - xã hội 05 năm 2021</w:t>
      </w:r>
      <w:r w:rsidR="006B3F64">
        <w:rPr>
          <w:lang w:val="it-IT"/>
        </w:rPr>
        <w:t xml:space="preserve"> </w:t>
      </w:r>
      <w:r w:rsidRPr="00D80876">
        <w:rPr>
          <w:lang w:val="it-IT"/>
        </w:rPr>
        <w:t>-</w:t>
      </w:r>
      <w:r w:rsidR="006B3F64">
        <w:rPr>
          <w:lang w:val="it-IT"/>
        </w:rPr>
        <w:t xml:space="preserve"> </w:t>
      </w:r>
      <w:r w:rsidRPr="00D80876">
        <w:rPr>
          <w:lang w:val="it-IT"/>
        </w:rPr>
        <w:t>2025, với d</w:t>
      </w:r>
      <w:r w:rsidRPr="00D80876">
        <w:rPr>
          <w:lang w:val="pl-PL"/>
        </w:rPr>
        <w:t xml:space="preserve">ự báo tình hình kinh tế thế giới và trong nước, cùng các yêu cầu, nhiệm vụ phát triển kinh tế - xã hội, xác định mục tiêu NSNN năm 2021 - 2022 là: </w:t>
      </w:r>
      <w:r w:rsidRPr="00D80876">
        <w:rPr>
          <w:bCs/>
          <w:lang w:val="it-IT"/>
        </w:rPr>
        <w:t xml:space="preserve">Huy động, phân bổ và sử dụng hiệu quả các nguồn lực của Nhà nước để phòng, chống dịch Covid-19, hạn chế tối đa ảnh hưởng, kịp thời khắc phục tác động của đại dịch; hỗ trợ phục hồi và phát triển kinh tế, giữ vững ổn định kinh tế vĩ mô, bảo đảm quốc phòng, an ninh và an sinh xã hội; </w:t>
      </w:r>
      <w:r w:rsidRPr="00D80876">
        <w:rPr>
          <w:lang w:val="it-IT"/>
        </w:rPr>
        <w:t>tiếp tục cơ cấu lại NSNN, nợ công; bảo đảm vai trò chủ đạo của NSTW, phát huy sự chủ động của các bộ, ngành, địa phương; đẩy mạnh cải cách hành chính, hiện đại hóa gắn liền với sắp xếp lại tổ chức bộ máy, tinh giản biên chế, đổi mới khu vực sự nghiệp công lập,</w:t>
      </w:r>
      <w:r w:rsidRPr="00D80876">
        <w:rPr>
          <w:bCs/>
          <w:lang w:val="nl-NL"/>
        </w:rPr>
        <w:t xml:space="preserve"> </w:t>
      </w:r>
      <w:r w:rsidRPr="00D80876">
        <w:rPr>
          <w:lang w:val="it-IT"/>
        </w:rPr>
        <w:t xml:space="preserve">siết chặt kỷ luật, kỷ cương tài chính - ngân sách, triệt để tiết kiệm chi </w:t>
      </w:r>
      <w:r w:rsidR="00A577AC" w:rsidRPr="00D80876">
        <w:rPr>
          <w:lang w:val="it-IT"/>
        </w:rPr>
        <w:t>NSNN</w:t>
      </w:r>
      <w:r w:rsidRPr="00D80876">
        <w:rPr>
          <w:lang w:val="it-IT"/>
        </w:rPr>
        <w:t>.</w:t>
      </w:r>
    </w:p>
    <w:p w:rsidR="00D835BD" w:rsidRPr="00D80876" w:rsidRDefault="0008064B" w:rsidP="00224BAF">
      <w:pPr>
        <w:pStyle w:val="Heading2"/>
      </w:pPr>
      <w:bookmarkStart w:id="112" w:name="_Toc62654366"/>
      <w:bookmarkStart w:id="113" w:name="_Toc62657724"/>
      <w:bookmarkStart w:id="114" w:name="_Toc87619930"/>
      <w:r w:rsidRPr="00D80876">
        <w:t>2. Yêu cầu:</w:t>
      </w:r>
      <w:bookmarkEnd w:id="112"/>
      <w:bookmarkEnd w:id="113"/>
      <w:bookmarkEnd w:id="114"/>
      <w:r w:rsidRPr="00D80876">
        <w:t xml:space="preserve"> </w:t>
      </w:r>
    </w:p>
    <w:p w:rsidR="00254BC1" w:rsidRPr="00D80876" w:rsidRDefault="00254BC1" w:rsidP="00224BAF">
      <w:pPr>
        <w:pStyle w:val="norm"/>
        <w:ind w:firstLine="720"/>
      </w:pPr>
      <w:r w:rsidRPr="00D80876">
        <w:rPr>
          <w:b/>
          <w:i/>
        </w:rPr>
        <w:t>Q</w:t>
      </w:r>
      <w:r w:rsidRPr="00D80876">
        <w:t>uán triệt định hướng xây dựng và hoàn thiện thể chế kinh tế thị trường định hướng xã hội chủ nghĩa là khâu đột phá quan trọng, tạo động lực để phát triển nhanh và bền vững; đổi mới mô hình tăng trưởng, cơ cấu lại nền kinh tế, đẩy mạnh công nghiệp hoá, hiện đại hoá; xây dựng nền kinh tế độc lập, tự chủ và hội nhập quốc tế; thực hiện tiến bộ và công bằng xã hội.</w:t>
      </w:r>
    </w:p>
    <w:p w:rsidR="00D835BD" w:rsidRPr="00D80876" w:rsidRDefault="0008064B" w:rsidP="00224BAF">
      <w:pPr>
        <w:pStyle w:val="norm"/>
        <w:ind w:firstLine="720"/>
      </w:pPr>
      <w:r w:rsidRPr="00D80876">
        <w:rPr>
          <w:b/>
          <w:i/>
        </w:rPr>
        <w:t>X</w:t>
      </w:r>
      <w:r w:rsidRPr="00D80876">
        <w:t xml:space="preserve">ây dựng kế hoạch tài chính </w:t>
      </w:r>
      <w:r w:rsidR="008419D4" w:rsidRPr="00D80876">
        <w:t>-</w:t>
      </w:r>
      <w:r w:rsidRPr="00D80876">
        <w:t xml:space="preserve"> NSNN</w:t>
      </w:r>
      <w:r w:rsidR="00AB3F5A" w:rsidRPr="00D80876">
        <w:t>, vay và trả nợ</w:t>
      </w:r>
      <w:r w:rsidRPr="00D80876">
        <w:t xml:space="preserve"> tích cực, thận trọng, </w:t>
      </w:r>
      <w:r w:rsidRPr="00D80876">
        <w:lastRenderedPageBreak/>
        <w:t xml:space="preserve">thúc đẩy tăng trưởng kinh tế, giải quyết tốt các vấn đề xã hội, an ninh quốc phòng. </w:t>
      </w:r>
      <w:r w:rsidR="00EA618A" w:rsidRPr="00D80876">
        <w:t xml:space="preserve">góp phần thực hiện thắng lợi Nghị quyết Đại hội Đảng XIII, </w:t>
      </w:r>
      <w:r w:rsidR="007C2866" w:rsidRPr="005D2403">
        <w:t>các nghị quyết của</w:t>
      </w:r>
      <w:r w:rsidR="007C2866">
        <w:t xml:space="preserve"> </w:t>
      </w:r>
      <w:r w:rsidR="00EA618A" w:rsidRPr="00D80876">
        <w:t>Quốc hội, HĐND các cấp.</w:t>
      </w:r>
    </w:p>
    <w:p w:rsidR="00D835BD" w:rsidRPr="00D80876" w:rsidRDefault="0008064B" w:rsidP="00224BAF">
      <w:pPr>
        <w:pStyle w:val="norm"/>
        <w:ind w:firstLine="720"/>
      </w:pPr>
      <w:r w:rsidRPr="00D80876">
        <w:rPr>
          <w:b/>
          <w:i/>
        </w:rPr>
        <w:t>T</w:t>
      </w:r>
      <w:r w:rsidRPr="00D80876">
        <w:t>iếp tục cơ cấu lại NSNN</w:t>
      </w:r>
      <w:r w:rsidR="00AB3F5A" w:rsidRPr="00D80876">
        <w:t xml:space="preserve"> và quản lý nợ công</w:t>
      </w:r>
      <w:r w:rsidRPr="00D80876">
        <w:t>, nâng cao hiệu quả, hiệu lực thu, chi NSĐP,</w:t>
      </w:r>
      <w:r w:rsidR="00AB3F5A" w:rsidRPr="00D80876">
        <w:t xml:space="preserve"> chỉ chi trong khả năng của nền kinh tế và chỉ vay trong khả năng trả nợ</w:t>
      </w:r>
      <w:r w:rsidR="00ED6CC0" w:rsidRPr="00D80876">
        <w:t xml:space="preserve">, kiểm soát chặt chẽ </w:t>
      </w:r>
      <w:r w:rsidR="00335B0A" w:rsidRPr="00D80876">
        <w:t>khoản vay, nghĩa vụ trả nợ</w:t>
      </w:r>
      <w:r w:rsidR="00AB3F5A" w:rsidRPr="00D80876">
        <w:t>,</w:t>
      </w:r>
      <w:r w:rsidRPr="00D80876">
        <w:t xml:space="preserve"> cải thiện dư địa chính sách tài khóa, phù hợp với trình độ phát triển trong tình hình mới.</w:t>
      </w:r>
    </w:p>
    <w:p w:rsidR="00D835BD" w:rsidRPr="00D80876" w:rsidRDefault="0008064B" w:rsidP="00224BAF">
      <w:pPr>
        <w:pStyle w:val="norm"/>
        <w:ind w:firstLine="720"/>
      </w:pPr>
      <w:r w:rsidRPr="00D80876">
        <w:rPr>
          <w:b/>
          <w:i/>
        </w:rPr>
        <w:t>T</w:t>
      </w:r>
      <w:r w:rsidRPr="00D80876">
        <w:t>ăng cường kỷ cương, kỷ luậ</w:t>
      </w:r>
      <w:r w:rsidR="00F33ADC" w:rsidRPr="00D80876">
        <w:t>t tài chính -</w:t>
      </w:r>
      <w:r w:rsidRPr="00D80876">
        <w:t xml:space="preserve"> ngân sách; công khai, minh bạch; đẩy mạnh trách nhiệm giải trình; tiếp tục thúc đẩy cải cách thủ tục hành chính trong lĩnh vực tài chính </w:t>
      </w:r>
      <w:r w:rsidR="00F33ADC" w:rsidRPr="00D80876">
        <w:t>-</w:t>
      </w:r>
      <w:r w:rsidRPr="00D80876">
        <w:t xml:space="preserve"> NSNN</w:t>
      </w:r>
      <w:r w:rsidR="00AB3F5A" w:rsidRPr="00D80876">
        <w:t>, vay và trả nợ</w:t>
      </w:r>
      <w:r w:rsidRPr="00D80876">
        <w:t>.</w:t>
      </w:r>
    </w:p>
    <w:p w:rsidR="00D835BD" w:rsidRPr="00D80876" w:rsidRDefault="0008064B" w:rsidP="00224BAF">
      <w:pPr>
        <w:pStyle w:val="Heading1"/>
      </w:pPr>
      <w:bookmarkStart w:id="115" w:name="_Toc62654367"/>
      <w:bookmarkStart w:id="116" w:name="_Toc62657725"/>
      <w:bookmarkStart w:id="117" w:name="_Toc87619931"/>
      <w:r w:rsidRPr="00D80876">
        <w:t>III. ĐỊNH HƯỚNG CÔNG TÁC QUẢN LÝ NỢ VÀ GIÁM SÁT RỦI RO TÀI KHÓA NGÂN SÁCH ĐỊA PHƯƠNG NĂM 202</w:t>
      </w:r>
      <w:r w:rsidR="0008367C" w:rsidRPr="00D80876">
        <w:t>1</w:t>
      </w:r>
      <w:r w:rsidRPr="00D80876">
        <w:t xml:space="preserve"> - 2022</w:t>
      </w:r>
      <w:bookmarkEnd w:id="115"/>
      <w:bookmarkEnd w:id="116"/>
      <w:bookmarkEnd w:id="117"/>
    </w:p>
    <w:p w:rsidR="0008064B" w:rsidRPr="00D80876" w:rsidRDefault="0008064B" w:rsidP="00224BAF">
      <w:pPr>
        <w:pStyle w:val="norm"/>
        <w:ind w:firstLine="720"/>
      </w:pPr>
      <w:r w:rsidRPr="00D80876">
        <w:t xml:space="preserve">Trong kế hoạch </w:t>
      </w:r>
      <w:r w:rsidR="009B0B89">
        <w:t>0</w:t>
      </w:r>
      <w:r w:rsidRPr="00D80876">
        <w:t>5 năm tới, Chính phủ đặt mục tiêu tăng trưởng bình quân 6,5-7%. Theo đó giai đoạn 2021 - 2022 là giai đoạn phục hồi, từ năm 2023 - 2025 là giai đoạn tăng tốc. Do vậy, tiếp tục việc nới lỏng chính sách tiền tệ và thực hiện chính sách tài khóa mở rộng. Thâm hụt ngân sách tiếp tục ở mức cao, kể cả theo số tuyệt đối do GDP theo giá hiện hành được điều chỉnh tăng.</w:t>
      </w:r>
    </w:p>
    <w:p w:rsidR="00D835BD" w:rsidRPr="00D80876" w:rsidRDefault="0008064B" w:rsidP="00224BAF">
      <w:pPr>
        <w:pStyle w:val="Heading2"/>
      </w:pPr>
      <w:bookmarkStart w:id="118" w:name="_Toc62654368"/>
      <w:bookmarkStart w:id="119" w:name="_Toc62657726"/>
      <w:bookmarkStart w:id="120" w:name="_Toc87619932"/>
      <w:r w:rsidRPr="00D80876">
        <w:t>1. Định hướng công tác quản lý thu ngân sách nhà nước, chi ngân sách địa phương và vay</w:t>
      </w:r>
      <w:r w:rsidR="00752066" w:rsidRPr="00D80876">
        <w:t>, trả</w:t>
      </w:r>
      <w:r w:rsidRPr="00D80876">
        <w:t xml:space="preserve"> nợ</w:t>
      </w:r>
      <w:bookmarkEnd w:id="118"/>
      <w:bookmarkEnd w:id="119"/>
      <w:bookmarkEnd w:id="120"/>
    </w:p>
    <w:p w:rsidR="00D835BD" w:rsidRPr="00D80876" w:rsidRDefault="0008064B" w:rsidP="00224BAF">
      <w:pPr>
        <w:pStyle w:val="Heading3"/>
      </w:pPr>
      <w:bookmarkStart w:id="121" w:name="_Toc62654369"/>
      <w:r w:rsidRPr="00D80876">
        <w:t>1.1</w:t>
      </w:r>
      <w:r w:rsidR="001662C1" w:rsidRPr="00D80876">
        <w:t>.</w:t>
      </w:r>
      <w:r w:rsidRPr="00D80876">
        <w:t xml:space="preserve"> Về </w:t>
      </w:r>
      <w:proofErr w:type="gramStart"/>
      <w:r w:rsidRPr="00D80876">
        <w:t>thu</w:t>
      </w:r>
      <w:proofErr w:type="gramEnd"/>
      <w:r w:rsidRPr="00D80876">
        <w:t xml:space="preserve"> NSNN</w:t>
      </w:r>
      <w:bookmarkEnd w:id="121"/>
      <w:r w:rsidRPr="00D80876">
        <w:t xml:space="preserve"> </w:t>
      </w:r>
    </w:p>
    <w:p w:rsidR="00D835BD" w:rsidRPr="00D80876" w:rsidRDefault="0008064B" w:rsidP="00224BAF">
      <w:pPr>
        <w:rPr>
          <w:bCs/>
          <w:lang w:val="nl-NL"/>
        </w:rPr>
      </w:pPr>
      <w:r w:rsidRPr="00D80876">
        <w:rPr>
          <w:lang w:val="it-IT"/>
        </w:rPr>
        <w:t xml:space="preserve">Tổng thu NSNN cả giai đoạn gấp khoảng </w:t>
      </w:r>
      <w:r w:rsidRPr="00D80876">
        <w:rPr>
          <w:b/>
          <w:lang w:val="it-IT"/>
        </w:rPr>
        <w:t>1,2</w:t>
      </w:r>
      <w:r w:rsidRPr="00D80876">
        <w:rPr>
          <w:lang w:val="it-IT"/>
        </w:rPr>
        <w:t xml:space="preserve"> lần so với giai đoạn </w:t>
      </w:r>
      <w:r w:rsidR="0026450F" w:rsidRPr="00D80876">
        <w:rPr>
          <w:lang w:val="it-IT"/>
        </w:rPr>
        <w:t>2016 - 2020</w:t>
      </w:r>
      <w:r w:rsidRPr="00D80876">
        <w:rPr>
          <w:lang w:val="it-IT"/>
        </w:rPr>
        <w:t xml:space="preserve">, đạt tỷ lệ huy động bình quân so GDP khoảng </w:t>
      </w:r>
      <w:r w:rsidRPr="00D80876">
        <w:rPr>
          <w:b/>
          <w:lang w:val="it-IT"/>
        </w:rPr>
        <w:t>16%</w:t>
      </w:r>
      <w:r w:rsidR="005565ED" w:rsidRPr="00D80876">
        <w:rPr>
          <w:lang w:val="it-IT"/>
        </w:rPr>
        <w:t xml:space="preserve"> </w:t>
      </w:r>
      <w:r w:rsidRPr="00D80876">
        <w:rPr>
          <w:lang w:val="it-IT"/>
        </w:rPr>
        <w:t xml:space="preserve">GDP điều chỉnh, trong đó từ thuế, phí khoảng </w:t>
      </w:r>
      <w:r w:rsidRPr="00D80876">
        <w:rPr>
          <w:b/>
          <w:lang w:val="it-IT"/>
        </w:rPr>
        <w:t>13-14%</w:t>
      </w:r>
      <w:r w:rsidR="005565ED" w:rsidRPr="00D80876">
        <w:rPr>
          <w:lang w:val="it-IT"/>
        </w:rPr>
        <w:t xml:space="preserve"> </w:t>
      </w:r>
      <w:r w:rsidRPr="00D80876">
        <w:rPr>
          <w:lang w:val="it-IT"/>
        </w:rPr>
        <w:t>GDP điều chỉnh. Trong đó: Thu nội địa chiếm 85-86% tổng thu NSNN</w:t>
      </w:r>
      <w:r w:rsidRPr="00D80876">
        <w:rPr>
          <w:lang w:val="nl-NL"/>
        </w:rPr>
        <w:t xml:space="preserve">; thu NSĐP gấp </w:t>
      </w:r>
      <w:r w:rsidRPr="00D80876">
        <w:rPr>
          <w:b/>
          <w:lang w:val="nl-NL"/>
        </w:rPr>
        <w:t>1,1</w:t>
      </w:r>
      <w:r w:rsidRPr="00D80876">
        <w:rPr>
          <w:lang w:val="nl-NL"/>
        </w:rPr>
        <w:t xml:space="preserve"> lần, chiếm khoảng </w:t>
      </w:r>
      <w:r w:rsidRPr="00D80876">
        <w:rPr>
          <w:b/>
          <w:lang w:val="nl-NL"/>
        </w:rPr>
        <w:t>43-44</w:t>
      </w:r>
      <w:r w:rsidRPr="00D80876">
        <w:rPr>
          <w:lang w:val="nl-NL"/>
        </w:rPr>
        <w:t>%</w:t>
      </w:r>
      <w:r w:rsidRPr="00D80876">
        <w:rPr>
          <w:bCs/>
          <w:lang w:val="nl-NL"/>
        </w:rPr>
        <w:t>.</w:t>
      </w:r>
    </w:p>
    <w:p w:rsidR="00FF2752" w:rsidRPr="00D80876" w:rsidRDefault="00FF2752" w:rsidP="00224BAF">
      <w:pPr>
        <w:pStyle w:val="Heading3"/>
        <w:rPr>
          <w:lang w:val="it-IT"/>
        </w:rPr>
      </w:pPr>
      <w:r w:rsidRPr="00D80876">
        <w:rPr>
          <w:lang w:val="it-IT"/>
        </w:rPr>
        <w:t xml:space="preserve">1.2. Về chi NSNN </w:t>
      </w:r>
    </w:p>
    <w:p w:rsidR="00FF2752" w:rsidRPr="00D80876" w:rsidRDefault="00FF2752" w:rsidP="00224BAF">
      <w:r w:rsidRPr="00D80876">
        <w:t xml:space="preserve">Tổng chi cả giai đoạn gấp gần </w:t>
      </w:r>
      <w:r w:rsidRPr="00D80876">
        <w:rPr>
          <w:b/>
        </w:rPr>
        <w:t>1</w:t>
      </w:r>
      <w:proofErr w:type="gramStart"/>
      <w:r w:rsidRPr="00D80876">
        <w:rPr>
          <w:b/>
        </w:rPr>
        <w:t>,3</w:t>
      </w:r>
      <w:proofErr w:type="gramEnd"/>
      <w:r w:rsidRPr="00D80876">
        <w:t xml:space="preserve"> lần so với giai đoạn </w:t>
      </w:r>
      <w:r w:rsidR="0026450F" w:rsidRPr="00D80876">
        <w:t>2016 - 2020</w:t>
      </w:r>
      <w:r w:rsidRPr="00D80876">
        <w:t xml:space="preserve"> bố trí một số lĩnh vực chi lớn như sau:</w:t>
      </w:r>
    </w:p>
    <w:p w:rsidR="00FF2752" w:rsidRPr="00D80876" w:rsidRDefault="00FF2752" w:rsidP="00224BAF">
      <w:r w:rsidRPr="00D80876">
        <w:t xml:space="preserve">a) Tổng chi ĐTPT chiếm khoảng </w:t>
      </w:r>
      <w:r w:rsidRPr="00D80876">
        <w:rPr>
          <w:b/>
        </w:rPr>
        <w:t>28%</w:t>
      </w:r>
      <w:r w:rsidRPr="00D80876">
        <w:t xml:space="preserve"> tổng chi NSNN. Trong đó: Chi ĐTPT của NSĐP chiếm </w:t>
      </w:r>
      <w:r w:rsidRPr="00D80876">
        <w:rPr>
          <w:b/>
        </w:rPr>
        <w:t>47</w:t>
      </w:r>
      <w:proofErr w:type="gramStart"/>
      <w:r w:rsidRPr="00D80876">
        <w:rPr>
          <w:b/>
        </w:rPr>
        <w:t>,7</w:t>
      </w:r>
      <w:proofErr w:type="gramEnd"/>
      <w:r w:rsidRPr="00D80876">
        <w:rPr>
          <w:b/>
        </w:rPr>
        <w:t>%</w:t>
      </w:r>
      <w:r w:rsidRPr="00D80876">
        <w:t xml:space="preserve"> tổng chi ĐTPT của NSNN, trong đó: chủ yếu sử dụng tiền sử dụng đất, từ XSKT, bán vốn, bội chi NSĐP.</w:t>
      </w:r>
    </w:p>
    <w:p w:rsidR="00FF2752" w:rsidRPr="00D80876" w:rsidRDefault="00FF2752" w:rsidP="00224BAF">
      <w:r w:rsidRPr="00D80876">
        <w:t xml:space="preserve">b) Chi trả nợ lãi: Đảm bảo trả nợ lãi đầy đủ </w:t>
      </w:r>
      <w:proofErr w:type="gramStart"/>
      <w:r w:rsidRPr="00D80876">
        <w:t>theo</w:t>
      </w:r>
      <w:proofErr w:type="gramEnd"/>
      <w:r w:rsidRPr="00D80876">
        <w:t xml:space="preserve"> cam kết.</w:t>
      </w:r>
    </w:p>
    <w:p w:rsidR="00FF2752" w:rsidRPr="00D80876" w:rsidRDefault="00FF2752" w:rsidP="00224BAF">
      <w:r w:rsidRPr="00D80876">
        <w:t xml:space="preserve">c) Chi thường xuyên (bao gồm cả chi cải cách tiền lương) bình quân khoảng </w:t>
      </w:r>
      <w:r w:rsidRPr="00D80876">
        <w:rPr>
          <w:b/>
        </w:rPr>
        <w:t>62-63%</w:t>
      </w:r>
      <w:r w:rsidRPr="00D80876">
        <w:t xml:space="preserve"> tổng chi NSNN; tỷ trọng chi thường xuyên (không bao gồm chi lương, trợ cấp, phụ cấp và các khoản trích </w:t>
      </w:r>
      <w:proofErr w:type="gramStart"/>
      <w:r w:rsidRPr="00D80876">
        <w:t>theo</w:t>
      </w:r>
      <w:proofErr w:type="gramEnd"/>
      <w:r w:rsidRPr="00D80876">
        <w:t xml:space="preserve"> lương) trong tổng chi NSNN giảm dần về mức khoảng </w:t>
      </w:r>
      <w:r w:rsidRPr="00D80876">
        <w:rPr>
          <w:b/>
        </w:rPr>
        <w:t>60%</w:t>
      </w:r>
      <w:r w:rsidRPr="00D80876">
        <w:t>.</w:t>
      </w:r>
    </w:p>
    <w:p w:rsidR="00FF2752" w:rsidRPr="00D80876" w:rsidRDefault="00FF2752" w:rsidP="00224BAF">
      <w:r w:rsidRPr="00D80876">
        <w:t xml:space="preserve">Trong bối cảnh </w:t>
      </w:r>
      <w:proofErr w:type="gramStart"/>
      <w:r w:rsidRPr="00D80876">
        <w:t>thu</w:t>
      </w:r>
      <w:proofErr w:type="gramEnd"/>
      <w:r w:rsidRPr="00D80876">
        <w:t xml:space="preserve"> NSNN khó khăn, bội chi NSNN đã dự kiến ở mức cao và ưu tiên bố trí chi ĐTPT, nên cân đối NSĐP dự kiến năm 2021 - 2022 không điều chỉnh lương cơ sở theo Nghị quyết 27-NQ/TW. Các địa phương tiếp tục tạo nguồn cải cách tiền lương, để thực hiện điều chỉnh tiền lương khi đủ điều kiện cân </w:t>
      </w:r>
      <w:r w:rsidRPr="00D80876">
        <w:lastRenderedPageBreak/>
        <w:t xml:space="preserve">đối ngân sách thực hiện nhiệm vụ phát triển kinh tế - xã hội, đảm bảo quốc phòng, </w:t>
      </w:r>
      <w:proofErr w:type="gramStart"/>
      <w:r w:rsidRPr="00D80876">
        <w:t>an</w:t>
      </w:r>
      <w:proofErr w:type="gramEnd"/>
      <w:r w:rsidRPr="00D80876">
        <w:t xml:space="preserve"> ninh và chính sách an sinh xã hội.  </w:t>
      </w:r>
      <w:bookmarkStart w:id="122" w:name="_Toc62654370"/>
    </w:p>
    <w:p w:rsidR="00FF2752" w:rsidRPr="00D80876" w:rsidRDefault="0008064B" w:rsidP="00224BAF">
      <w:pPr>
        <w:pStyle w:val="Heading3"/>
        <w:rPr>
          <w:lang w:val="it-IT"/>
        </w:rPr>
      </w:pPr>
      <w:r w:rsidRPr="00D80876">
        <w:rPr>
          <w:lang w:val="it-IT"/>
        </w:rPr>
        <w:t>1.</w:t>
      </w:r>
      <w:r w:rsidR="00FF2752" w:rsidRPr="00D80876">
        <w:rPr>
          <w:lang w:val="it-IT"/>
        </w:rPr>
        <w:t>3</w:t>
      </w:r>
      <w:r w:rsidRPr="00D80876">
        <w:rPr>
          <w:lang w:val="it-IT"/>
        </w:rPr>
        <w:t>. Về bội chi NSNN, nợ công</w:t>
      </w:r>
      <w:bookmarkEnd w:id="122"/>
      <w:r w:rsidRPr="00D80876">
        <w:rPr>
          <w:lang w:val="it-IT"/>
        </w:rPr>
        <w:t xml:space="preserve"> </w:t>
      </w:r>
    </w:p>
    <w:p w:rsidR="00D835BD" w:rsidRPr="00D80876" w:rsidRDefault="0008064B" w:rsidP="00224BAF">
      <w:pPr>
        <w:rPr>
          <w:lang w:val="it-IT"/>
        </w:rPr>
      </w:pPr>
      <w:r w:rsidRPr="00D80876">
        <w:rPr>
          <w:lang w:val="it-IT"/>
        </w:rPr>
        <w:t>T</w:t>
      </w:r>
      <w:r w:rsidRPr="00D80876">
        <w:t xml:space="preserve">ỷ lệ bội chi trên GDP năm 2021 khoảng </w:t>
      </w:r>
      <w:r w:rsidRPr="00D80876">
        <w:rPr>
          <w:b/>
        </w:rPr>
        <w:t>4%</w:t>
      </w:r>
      <w:r w:rsidR="005565ED" w:rsidRPr="00D80876">
        <w:t xml:space="preserve"> </w:t>
      </w:r>
      <w:r w:rsidRPr="00D80876">
        <w:t xml:space="preserve">GDP, giảm dần đến năm 2025 còn </w:t>
      </w:r>
      <w:r w:rsidRPr="00D80876">
        <w:rPr>
          <w:b/>
        </w:rPr>
        <w:t>3,4%</w:t>
      </w:r>
      <w:r w:rsidR="005565ED" w:rsidRPr="00D80876">
        <w:t xml:space="preserve"> </w:t>
      </w:r>
      <w:r w:rsidRPr="00D80876">
        <w:t xml:space="preserve">GDP điều chỉnh, bình quân cả giai đoạn </w:t>
      </w:r>
      <w:r w:rsidR="008431DF">
        <w:t>2021 - 2025</w:t>
      </w:r>
      <w:r w:rsidRPr="00D80876">
        <w:t xml:space="preserve"> khoảng </w:t>
      </w:r>
      <w:r w:rsidRPr="00D80876">
        <w:rPr>
          <w:b/>
        </w:rPr>
        <w:t>3,7%</w:t>
      </w:r>
      <w:r w:rsidR="005565ED" w:rsidRPr="00D80876">
        <w:t xml:space="preserve"> </w:t>
      </w:r>
      <w:r w:rsidRPr="00D80876">
        <w:t>GDP điều chỉnh</w:t>
      </w:r>
      <w:r w:rsidRPr="00D80876">
        <w:rPr>
          <w:rStyle w:val="FootnoteReference"/>
          <w:b/>
          <w:lang w:val="nl-NL"/>
        </w:rPr>
        <w:footnoteReference w:id="61"/>
      </w:r>
      <w:r w:rsidRPr="00D80876">
        <w:t xml:space="preserve">. </w:t>
      </w:r>
      <w:r w:rsidRPr="00D80876">
        <w:rPr>
          <w:lang w:val="it-IT"/>
        </w:rPr>
        <w:t xml:space="preserve">Nợ công đến năm 2025 khoảng </w:t>
      </w:r>
      <w:r w:rsidRPr="00D80876">
        <w:rPr>
          <w:b/>
          <w:lang w:val="it-IT"/>
        </w:rPr>
        <w:t>47,5%</w:t>
      </w:r>
      <w:r w:rsidRPr="00D80876">
        <w:rPr>
          <w:lang w:val="it-IT"/>
        </w:rPr>
        <w:t xml:space="preserve">, nợ Chính phủ khoảng </w:t>
      </w:r>
      <w:r w:rsidRPr="00D80876">
        <w:rPr>
          <w:b/>
          <w:lang w:val="it-IT"/>
        </w:rPr>
        <w:t>43,8%</w:t>
      </w:r>
      <w:r w:rsidR="005565ED" w:rsidRPr="00D80876">
        <w:rPr>
          <w:lang w:val="it-IT"/>
        </w:rPr>
        <w:t xml:space="preserve"> </w:t>
      </w:r>
      <w:r w:rsidRPr="00D80876">
        <w:rPr>
          <w:lang w:val="it-IT"/>
        </w:rPr>
        <w:t>GDP điều chỉnh</w:t>
      </w:r>
      <w:r w:rsidRPr="00D80876">
        <w:rPr>
          <w:rStyle w:val="FootnoteReference"/>
          <w:b/>
          <w:lang w:val="it-IT"/>
        </w:rPr>
        <w:footnoteReference w:id="62"/>
      </w:r>
      <w:r w:rsidRPr="00D80876">
        <w:rPr>
          <w:lang w:val="it-IT"/>
        </w:rPr>
        <w:t>.</w:t>
      </w:r>
    </w:p>
    <w:p w:rsidR="005565ED" w:rsidRPr="00D80876" w:rsidRDefault="00EA236E" w:rsidP="00224BAF">
      <w:r w:rsidRPr="00D80876">
        <w:t>N</w:t>
      </w:r>
      <w:r w:rsidRPr="00D80876">
        <w:rPr>
          <w:lang w:val="vi-VN"/>
        </w:rPr>
        <w:t xml:space="preserve">hu cầu của các địa phương đề xuất vay lại từ nguồn vốn vay nước ngoài của Chính phủ giai đoạn </w:t>
      </w:r>
      <w:r w:rsidR="008431DF">
        <w:rPr>
          <w:lang w:val="vi-VN"/>
        </w:rPr>
        <w:t>2021 - 2025</w:t>
      </w:r>
      <w:r w:rsidRPr="00D80876">
        <w:rPr>
          <w:lang w:val="vi-VN"/>
        </w:rPr>
        <w:t xml:space="preserve"> </w:t>
      </w:r>
      <w:r w:rsidRPr="00D80876">
        <w:t>là rất lớn,</w:t>
      </w:r>
      <w:r w:rsidRPr="00D80876">
        <w:rPr>
          <w:lang w:val="vi-VN"/>
        </w:rPr>
        <w:t xml:space="preserve"> để đảm bảo khung bội chi NSĐP và bội chi NSNN tổng thể giai đoạn </w:t>
      </w:r>
      <w:r w:rsidR="008431DF">
        <w:rPr>
          <w:lang w:val="vi-VN"/>
        </w:rPr>
        <w:t>2021 - 2025</w:t>
      </w:r>
      <w:r w:rsidRPr="00D80876">
        <w:rPr>
          <w:lang w:val="vi-VN"/>
        </w:rPr>
        <w:t xml:space="preserve">, Chính phủ dự kiến bố trí khoảng </w:t>
      </w:r>
      <w:r w:rsidRPr="00D80876">
        <w:rPr>
          <w:b/>
          <w:lang w:val="vi-VN"/>
        </w:rPr>
        <w:t>148</w:t>
      </w:r>
      <w:r w:rsidRPr="00D80876">
        <w:rPr>
          <w:lang w:val="vi-VN"/>
        </w:rPr>
        <w:t xml:space="preserve"> nghìn tỷ đồng vốn vay nước ngoài về cho địa phương vay lại trong 5 năm tới, gấp </w:t>
      </w:r>
      <w:r w:rsidRPr="00D80876">
        <w:rPr>
          <w:b/>
          <w:lang w:val="vi-VN"/>
        </w:rPr>
        <w:t>5,2</w:t>
      </w:r>
      <w:r w:rsidRPr="00D80876">
        <w:rPr>
          <w:lang w:val="vi-VN"/>
        </w:rPr>
        <w:t xml:space="preserve"> lần so với giai đoạn </w:t>
      </w:r>
      <w:r w:rsidR="0026450F" w:rsidRPr="00D80876">
        <w:rPr>
          <w:lang w:val="vi-VN"/>
        </w:rPr>
        <w:t>2016 - 2020</w:t>
      </w:r>
      <w:r w:rsidR="006938D4" w:rsidRPr="00D80876">
        <w:t xml:space="preserve">, bình quân khoảng </w:t>
      </w:r>
      <w:r w:rsidR="00FC460A" w:rsidRPr="00D80876">
        <w:rPr>
          <w:b/>
        </w:rPr>
        <w:t>2</w:t>
      </w:r>
      <w:r w:rsidR="006938D4" w:rsidRPr="00D80876">
        <w:rPr>
          <w:b/>
        </w:rPr>
        <w:t xml:space="preserve">8 - </w:t>
      </w:r>
      <w:r w:rsidR="00FC460A" w:rsidRPr="00D80876">
        <w:rPr>
          <w:b/>
        </w:rPr>
        <w:t>30</w:t>
      </w:r>
      <w:r w:rsidR="006938D4" w:rsidRPr="00D80876">
        <w:t xml:space="preserve"> nghìn tỷ đồng/năm</w:t>
      </w:r>
      <w:r w:rsidRPr="00D80876">
        <w:rPr>
          <w:lang w:val="vi-VN"/>
        </w:rPr>
        <w:t>, song vẫn đảm bảo không vượt quá hạn mức dư nợ tối đa theo quy định của Luật NSNN</w:t>
      </w:r>
      <w:r w:rsidR="00FC460A" w:rsidRPr="00D80876">
        <w:t>, Nghị quyết Quốc hội</w:t>
      </w:r>
      <w:r w:rsidRPr="00D80876">
        <w:rPr>
          <w:lang w:val="vi-VN"/>
        </w:rPr>
        <w:t xml:space="preserve"> và các văn bản hướng dẫn. </w:t>
      </w:r>
      <w:r w:rsidR="007338AB" w:rsidRPr="00D80876">
        <w:t>C</w:t>
      </w:r>
      <w:r w:rsidRPr="00D80876">
        <w:rPr>
          <w:lang w:val="vi-VN"/>
        </w:rPr>
        <w:t>ác địa phương thực hiện vay trong nước thì phải đảm bảo bội chi trong phạm vi Quốc hội quyết định, trường hợp bố trí được tăng trả nợ gốc (như trả nợ gốc trước hạn) từ nguồn tăng thu tiết kiệm chi, cho phép địa phương tăng tổng mức vay tương ứng và đảm bảo mức bội chi theo quyết định của Quốc hội.</w:t>
      </w:r>
      <w:r w:rsidR="008E4013" w:rsidRPr="00D80876">
        <w:t xml:space="preserve"> </w:t>
      </w:r>
      <w:bookmarkStart w:id="123" w:name="_Toc62654371"/>
    </w:p>
    <w:bookmarkEnd w:id="123"/>
    <w:p w:rsidR="00093259" w:rsidRPr="00D80876" w:rsidRDefault="00093259" w:rsidP="00224BAF">
      <w:pPr>
        <w:pStyle w:val="Heading3"/>
        <w:rPr>
          <w:lang w:val="it-IT"/>
        </w:rPr>
      </w:pPr>
      <w:r w:rsidRPr="00D80876">
        <w:rPr>
          <w:lang w:val="it-IT"/>
        </w:rPr>
        <w:t xml:space="preserve">1.4. Về khu vực </w:t>
      </w:r>
      <w:r w:rsidR="008E5C4C" w:rsidRPr="00D80876">
        <w:rPr>
          <w:lang w:val="it-IT"/>
        </w:rPr>
        <w:t xml:space="preserve">doanh nghiệp nhà nước, </w:t>
      </w:r>
      <w:r w:rsidR="002C1FF1" w:rsidRPr="00D80876">
        <w:rPr>
          <w:lang w:val="it-IT"/>
        </w:rPr>
        <w:t xml:space="preserve">đơn vị </w:t>
      </w:r>
      <w:r w:rsidR="008E5C4C" w:rsidRPr="00D80876">
        <w:rPr>
          <w:lang w:val="it-IT"/>
        </w:rPr>
        <w:t>sự nghiệp công</w:t>
      </w:r>
      <w:r w:rsidRPr="00D80876">
        <w:rPr>
          <w:lang w:val="it-IT"/>
        </w:rPr>
        <w:t xml:space="preserve"> </w:t>
      </w:r>
    </w:p>
    <w:p w:rsidR="00CB77F4" w:rsidRPr="00D80876" w:rsidRDefault="008E5C4C" w:rsidP="00224BAF">
      <w:pPr>
        <w:rPr>
          <w:spacing w:val="-2"/>
          <w:lang w:val="nl-NL"/>
        </w:rPr>
      </w:pPr>
      <w:r w:rsidRPr="00D80876">
        <w:rPr>
          <w:spacing w:val="-2"/>
          <w:lang w:val="nl-NL"/>
        </w:rPr>
        <w:t xml:space="preserve">Đến năm 2025, hoàn tất sắp xếp lại </w:t>
      </w:r>
      <w:r w:rsidR="00CB77F4" w:rsidRPr="00D80876">
        <w:rPr>
          <w:spacing w:val="-2"/>
          <w:lang w:val="nl-NL"/>
        </w:rPr>
        <w:t>DNNN</w:t>
      </w:r>
      <w:r w:rsidR="002C1FF1" w:rsidRPr="00D80876">
        <w:rPr>
          <w:spacing w:val="-2"/>
          <w:lang w:val="nl-NL"/>
        </w:rPr>
        <w:t>;</w:t>
      </w:r>
      <w:r w:rsidR="00677CFB" w:rsidRPr="00D80876">
        <w:rPr>
          <w:lang w:val="nl-NL"/>
        </w:rPr>
        <w:t xml:space="preserve"> hoàn thành việc thể chế đổi mới cơ chế quản lý, cơ chế tài chính và tổ chức lại hệ thống đơn vị sự nghiệp công lập; hoàn thành lộ trình tính giá dịch vụ sự nghiệp công (gồm cả lương, chi phí trực tiếp, chi phí quản lý và khấu hao tài sản) đối với một số lĩnh vực cơ bản như y tế, giáo dục - đào tạo, giáo dục nghề nghiệp; </w:t>
      </w:r>
      <w:r w:rsidR="00677CFB" w:rsidRPr="00D80876">
        <w:rPr>
          <w:spacing w:val="-2"/>
          <w:lang w:val="nl-NL"/>
        </w:rPr>
        <w:t>tiếp tục giảm tối thiểu bình quân cả nước 10% đơn vị sự nghiệp công lập và 10% biên chế sự nghiệp hưởng lương từ NSNN so với năm 2021; phấn đấu có tối thiểu 20% đơn vị tự chủ tài chính; tiếp tục giảm</w:t>
      </w:r>
      <w:r w:rsidR="00677CFB" w:rsidRPr="00D80876">
        <w:rPr>
          <w:spacing w:val="-2"/>
          <w:lang w:val="vi-VN"/>
        </w:rPr>
        <w:t xml:space="preserve"> </w:t>
      </w:r>
      <w:r w:rsidR="00677CFB" w:rsidRPr="00D80876">
        <w:rPr>
          <w:spacing w:val="-2"/>
          <w:lang w:val="nl-NL"/>
        </w:rPr>
        <w:t>10% chi trực tiếp từ NSNN so với giai đoạ</w:t>
      </w:r>
      <w:r w:rsidR="003F1273" w:rsidRPr="00D80876">
        <w:rPr>
          <w:spacing w:val="-2"/>
          <w:lang w:val="nl-NL"/>
        </w:rPr>
        <w:t>n 2016 -</w:t>
      </w:r>
      <w:r w:rsidR="00677CFB" w:rsidRPr="00D80876">
        <w:rPr>
          <w:spacing w:val="-2"/>
          <w:lang w:val="nl-NL"/>
        </w:rPr>
        <w:t xml:space="preserve"> 2020.</w:t>
      </w:r>
      <w:bookmarkStart w:id="124" w:name="_Toc62654372"/>
      <w:bookmarkStart w:id="125" w:name="_Toc62657727"/>
    </w:p>
    <w:p w:rsidR="00CB77F4" w:rsidRPr="00D80876" w:rsidRDefault="0008064B" w:rsidP="00224BAF">
      <w:pPr>
        <w:pStyle w:val="Heading2"/>
      </w:pPr>
      <w:bookmarkStart w:id="126" w:name="_Toc87619933"/>
      <w:r w:rsidRPr="00D80876">
        <w:t>2. Một số rủi ro tài khóa ngân sách địa phương</w:t>
      </w:r>
      <w:bookmarkStart w:id="127" w:name="_Toc62654373"/>
      <w:bookmarkEnd w:id="124"/>
      <w:bookmarkEnd w:id="125"/>
      <w:bookmarkEnd w:id="126"/>
    </w:p>
    <w:p w:rsidR="00D835BD" w:rsidRPr="00D80876" w:rsidRDefault="0008064B" w:rsidP="00224BAF">
      <w:pPr>
        <w:pStyle w:val="Heading3"/>
        <w:rPr>
          <w:lang w:val="it-IT"/>
        </w:rPr>
      </w:pPr>
      <w:r w:rsidRPr="00D80876">
        <w:rPr>
          <w:lang w:val="it-IT"/>
        </w:rPr>
        <w:t xml:space="preserve">2.1. </w:t>
      </w:r>
      <w:r w:rsidR="00603E95" w:rsidRPr="00D80876">
        <w:rPr>
          <w:lang w:val="it-IT"/>
        </w:rPr>
        <w:t>R</w:t>
      </w:r>
      <w:r w:rsidRPr="00D80876">
        <w:rPr>
          <w:lang w:val="it-IT"/>
        </w:rPr>
        <w:t>ủi ro đối với phát triển kinh tế - xã hội</w:t>
      </w:r>
      <w:bookmarkEnd w:id="127"/>
    </w:p>
    <w:p w:rsidR="00561AD1" w:rsidRPr="00D80876" w:rsidRDefault="00B8405A" w:rsidP="00224BAF">
      <w:pPr>
        <w:rPr>
          <w:lang w:val="it-IT"/>
        </w:rPr>
      </w:pPr>
      <w:r w:rsidRPr="00D80876">
        <w:rPr>
          <w:lang w:val="it-IT"/>
        </w:rPr>
        <w:t xml:space="preserve">Trong bối cảnh đại dịch Covid-19 còn diễn biến hết sức phức tạp, tác động khó lường, các vấn đề biến đổi khí hậu, thiên tai, dịch bệnh, ô nhiễm môi trường đặc biệt là tình hình trên biển Đông và các khu vực biên giới dự kiến cũng có tác động tiêu cực tới đầu tư, sản xuất kinh doanh và đời sống người dân; để thực hiện được mục tiêu tăng trưởng GDP bình quân giai đoạn </w:t>
      </w:r>
      <w:r w:rsidR="008431DF">
        <w:rPr>
          <w:lang w:val="it-IT"/>
        </w:rPr>
        <w:t>2021 - 2025</w:t>
      </w:r>
      <w:r w:rsidRPr="00D80876">
        <w:rPr>
          <w:lang w:val="it-IT"/>
        </w:rPr>
        <w:t xml:space="preserve"> đạt mức 6,5-7%/năm đòi hỏi sự quyết tâm, nỗ lực rất lớn của cả hệ thống chính trị, cộng đồng doanh nghiệp và người dân ngay từ năm </w:t>
      </w:r>
      <w:r w:rsidR="00164E33" w:rsidRPr="00D80876">
        <w:rPr>
          <w:lang w:val="it-IT"/>
        </w:rPr>
        <w:t>2021 - 2022</w:t>
      </w:r>
      <w:r w:rsidRPr="00D80876">
        <w:rPr>
          <w:lang w:val="it-IT"/>
        </w:rPr>
        <w:t xml:space="preserve">. </w:t>
      </w:r>
    </w:p>
    <w:p w:rsidR="00D835BD" w:rsidRPr="00D80876" w:rsidRDefault="0008064B" w:rsidP="00224BAF">
      <w:pPr>
        <w:rPr>
          <w:shd w:val="clear" w:color="auto" w:fill="FFFFFF"/>
        </w:rPr>
      </w:pPr>
      <w:proofErr w:type="gramStart"/>
      <w:r w:rsidRPr="00D80876">
        <w:t>Sự phát triển kinh tế của từng địa phương, cả nước chưa thật sự bền vững, dễ chịu tác động bởi các yếu tố bên ngoài.</w:t>
      </w:r>
      <w:proofErr w:type="gramEnd"/>
      <w:r w:rsidRPr="00D80876">
        <w:t xml:space="preserve"> </w:t>
      </w:r>
      <w:proofErr w:type="gramStart"/>
      <w:r w:rsidRPr="00D80876">
        <w:t xml:space="preserve">Động lực phát triển kinh tế còn phụ </w:t>
      </w:r>
      <w:r w:rsidRPr="00D80876">
        <w:lastRenderedPageBreak/>
        <w:t>thuộc khá lớn vào hoạt động xuất nhập khẩu, đầu tư và hoạt động sản xuất - kinh doanh của khu vực đầu tư nước ngoài</w:t>
      </w:r>
      <w:r w:rsidRPr="00D80876">
        <w:rPr>
          <w:rStyle w:val="FootnoteReference"/>
          <w:b/>
          <w:lang w:val="it-IT"/>
        </w:rPr>
        <w:footnoteReference w:id="63"/>
      </w:r>
      <w:r w:rsidRPr="00D80876">
        <w:t>.</w:t>
      </w:r>
      <w:proofErr w:type="gramEnd"/>
      <w:r w:rsidRPr="00D80876">
        <w:t xml:space="preserve"> Trong khi diễn biến khu vực, thế giới tiềm ẩn rủi ro; chủ nghĩa bảo hộ gia tăng, những biến động của khu vực có vốn đầu tư nước ngoài trong bối cảnh cuộc cách mạng khoa học công nghiệp 4.0 phát triển nhanh, mạnh; xu hướng chuyển dịch, tránh sự phụ thuộc vào một số thị trường. </w:t>
      </w:r>
      <w:r w:rsidRPr="00D80876">
        <w:rPr>
          <w:shd w:val="clear" w:color="auto" w:fill="FFFFFF"/>
        </w:rPr>
        <w:t>Đồng thời, việc thực thi các gói cứu trợ lớn trên thế giới và ở Việt Nam có thể làm gia tăng các bất ổn về giá hàng hóa và thị trường tài chính, cũng như lạm phát cao trong giai đoạn phục hồi hậu Covid-19</w:t>
      </w:r>
      <w:r w:rsidR="008B02A6" w:rsidRPr="00D80876">
        <w:rPr>
          <w:shd w:val="clear" w:color="auto" w:fill="FFFFFF"/>
        </w:rPr>
        <w:t xml:space="preserve"> và trong d</w:t>
      </w:r>
      <w:r w:rsidR="00B8405A" w:rsidRPr="00D80876">
        <w:rPr>
          <w:shd w:val="clear" w:color="auto" w:fill="FFFFFF"/>
        </w:rPr>
        <w:t>à</w:t>
      </w:r>
      <w:r w:rsidR="008B02A6" w:rsidRPr="00D80876">
        <w:rPr>
          <w:shd w:val="clear" w:color="auto" w:fill="FFFFFF"/>
        </w:rPr>
        <w:t>i hạn là rủi ro đối với chính sách tài khóa, nợ công</w:t>
      </w:r>
      <w:r w:rsidRPr="00D80876">
        <w:rPr>
          <w:shd w:val="clear" w:color="auto" w:fill="FFFFFF"/>
        </w:rPr>
        <w:t>.</w:t>
      </w:r>
    </w:p>
    <w:p w:rsidR="003346CB" w:rsidRPr="00D80876" w:rsidRDefault="00B8405A" w:rsidP="00224BAF">
      <w:pPr>
        <w:rPr>
          <w:lang w:val="it-IT"/>
        </w:rPr>
      </w:pPr>
      <w:r w:rsidRPr="00D80876">
        <w:rPr>
          <w:lang w:val="it-IT"/>
        </w:rPr>
        <w:t>Việc tham gia các Hiệp định thương mại tự do thế hệ mới (như CPTPP, EVFTA…) với nhiều cơ hội, nhưng cũng tiềm ẩn rủi ro do trình độ quản lý, năng suất, chất lượng, hiệu quả, sức cạnh tranh của nền kinh tế nước ta ở một số lĩnh vực hạn chế. Bên cạnh đó, nguy cơ tụt hậu về công nghệ do ảnh hưởng của cách mạng công nghiệp lần thứ tư nếu không có những giải pháp phù hợp nhằm chủ động nắm bắt các công nghệ mới và phát triển kinh tế số.</w:t>
      </w:r>
      <w:bookmarkStart w:id="128" w:name="_Toc62654374"/>
    </w:p>
    <w:p w:rsidR="003346CB" w:rsidRPr="00D80876" w:rsidRDefault="0008064B" w:rsidP="00224BAF">
      <w:pPr>
        <w:pStyle w:val="Heading3"/>
        <w:rPr>
          <w:lang w:val="it-IT"/>
        </w:rPr>
      </w:pPr>
      <w:r w:rsidRPr="00D80876">
        <w:rPr>
          <w:lang w:val="it-IT"/>
        </w:rPr>
        <w:t xml:space="preserve">2.2. </w:t>
      </w:r>
      <w:r w:rsidR="00603E95" w:rsidRPr="00D80876">
        <w:rPr>
          <w:lang w:val="it-IT"/>
        </w:rPr>
        <w:t>R</w:t>
      </w:r>
      <w:r w:rsidRPr="00D80876">
        <w:rPr>
          <w:lang w:val="it-IT"/>
        </w:rPr>
        <w:t>ủi ro về</w:t>
      </w:r>
      <w:r w:rsidR="003346CB" w:rsidRPr="00D80876">
        <w:rPr>
          <w:lang w:val="it-IT"/>
        </w:rPr>
        <w:t xml:space="preserve"> tài chính -</w:t>
      </w:r>
      <w:r w:rsidRPr="00D80876">
        <w:rPr>
          <w:lang w:val="it-IT"/>
        </w:rPr>
        <w:t xml:space="preserve"> NSNN</w:t>
      </w:r>
      <w:bookmarkEnd w:id="128"/>
      <w:r w:rsidRPr="00D80876">
        <w:rPr>
          <w:lang w:val="it-IT"/>
        </w:rPr>
        <w:t xml:space="preserve"> </w:t>
      </w:r>
    </w:p>
    <w:p w:rsidR="003346CB" w:rsidRPr="00D80876" w:rsidRDefault="0008064B" w:rsidP="00224BAF">
      <w:r w:rsidRPr="00D80876">
        <w:t xml:space="preserve">a) Kế hoạch </w:t>
      </w:r>
      <w:proofErr w:type="gramStart"/>
      <w:r w:rsidRPr="00D80876">
        <w:t>thu</w:t>
      </w:r>
      <w:proofErr w:type="gramEnd"/>
      <w:r w:rsidRPr="00D80876">
        <w:t xml:space="preserve"> NSNN dự kiến số thu từ</w:t>
      </w:r>
      <w:r w:rsidR="00944627" w:rsidRPr="00D80876">
        <w:t xml:space="preserve"> cổ phần hóa, thoái vốn nhà nước tại doanh nghiệp</w:t>
      </w:r>
      <w:r w:rsidRPr="00D80876">
        <w:t xml:space="preserve">, thu tiền sử dụng đất. Các khoản </w:t>
      </w:r>
      <w:proofErr w:type="gramStart"/>
      <w:r w:rsidRPr="00D80876">
        <w:t>thu</w:t>
      </w:r>
      <w:proofErr w:type="gramEnd"/>
      <w:r w:rsidRPr="00D80876">
        <w:t xml:space="preserve"> này phụ thuộc nhiều vào việc triển khai </w:t>
      </w:r>
      <w:r w:rsidR="00944627" w:rsidRPr="00D80876">
        <w:t>thực hiện</w:t>
      </w:r>
      <w:r w:rsidRPr="00D80876">
        <w:t xml:space="preserve"> nhiệm vụ cổ phần hóa, sắp xếp lại khu vực doanh nghiệp nhà nước, phụ thuộc vào thị trường chứng khoán, thị trường bất động sản.</w:t>
      </w:r>
    </w:p>
    <w:p w:rsidR="003346CB" w:rsidRPr="00D80876" w:rsidRDefault="0008064B" w:rsidP="00224BAF">
      <w:r w:rsidRPr="00D80876">
        <w:t xml:space="preserve">b) Dự kiến thu NSNN giai đoạn </w:t>
      </w:r>
      <w:r w:rsidR="00164E33" w:rsidRPr="00D80876">
        <w:t>2021 - 2022</w:t>
      </w:r>
      <w:r w:rsidRPr="00D80876">
        <w:t xml:space="preserve"> với tốc độ tăng thu từ sản xuất kinh doanh bình quân </w:t>
      </w:r>
      <w:r w:rsidR="00561AD1" w:rsidRPr="00D80876">
        <w:t>6</w:t>
      </w:r>
      <w:r w:rsidRPr="00D80876">
        <w:t>-</w:t>
      </w:r>
      <w:r w:rsidR="00A173FA" w:rsidRPr="00D80876">
        <w:t>8</w:t>
      </w:r>
      <w:r w:rsidRPr="00D80876">
        <w:t xml:space="preserve">%/năm trên cơ sở tiếp tục hoàn thiện các chính sách thu, trong đó cùng với việc điều chỉnh giảm nghĩa vụ thu một số khoản (thuế thu nhập doanh nghiệp đối với doanh nghiệp vừa và nhỏ...) đi kèm với việc rà soát, hợp lý hóa các ưu đãi thu hiện hành, mở rộng cơ sở thu, điều chỉnh các khoản thu </w:t>
      </w:r>
      <w:r w:rsidRPr="00D80876">
        <w:rPr>
          <w:rStyle w:val="apple-style-span"/>
          <w:spacing w:val="-2"/>
          <w:shd w:val="clear" w:color="auto" w:fill="FFFFFF"/>
          <w:lang w:val="vi-VN"/>
        </w:rPr>
        <w:t xml:space="preserve">tiếp cận dần với mức độ </w:t>
      </w:r>
      <w:r w:rsidRPr="00D80876">
        <w:rPr>
          <w:rStyle w:val="apple-style-span"/>
          <w:spacing w:val="-2"/>
          <w:shd w:val="clear" w:color="auto" w:fill="FFFFFF"/>
          <w:lang w:val="it-IT"/>
        </w:rPr>
        <w:t xml:space="preserve">gây </w:t>
      </w:r>
      <w:r w:rsidRPr="00D80876">
        <w:rPr>
          <w:rStyle w:val="apple-style-span"/>
          <w:spacing w:val="-2"/>
          <w:shd w:val="clear" w:color="auto" w:fill="FFFFFF"/>
          <w:lang w:val="vi-VN"/>
        </w:rPr>
        <w:t>ô nhiễm</w:t>
      </w:r>
      <w:r w:rsidRPr="00D80876">
        <w:rPr>
          <w:rStyle w:val="apple-style-span"/>
          <w:spacing w:val="-2"/>
          <w:shd w:val="clear" w:color="auto" w:fill="FFFFFF"/>
          <w:lang w:val="it-IT"/>
        </w:rPr>
        <w:t>, khuyến khích sử dụng hiệu quả tài nguyên, khoáng sản, phát triển kinh tế thân thiện</w:t>
      </w:r>
      <w:r w:rsidRPr="00D80876">
        <w:rPr>
          <w:rStyle w:val="apple-style-span"/>
          <w:spacing w:val="-2"/>
          <w:shd w:val="clear" w:color="auto" w:fill="FFFFFF"/>
          <w:lang w:val="vi-VN"/>
        </w:rPr>
        <w:t xml:space="preserve"> </w:t>
      </w:r>
      <w:r w:rsidRPr="00D80876">
        <w:t xml:space="preserve">môi trường, áp dụng thuế tài sản... Vì vậy, việc thực hiện kế hoạch </w:t>
      </w:r>
      <w:proofErr w:type="gramStart"/>
      <w:r w:rsidRPr="00D80876">
        <w:t>thu</w:t>
      </w:r>
      <w:proofErr w:type="gramEnd"/>
      <w:r w:rsidRPr="00D80876">
        <w:t xml:space="preserve"> sẽ phụ thuộc vào khả năng hoàn thiện các chính sách thu. </w:t>
      </w:r>
    </w:p>
    <w:p w:rsidR="003346CB" w:rsidRPr="00D80876" w:rsidRDefault="0008064B" w:rsidP="00224BAF">
      <w:pPr>
        <w:rPr>
          <w:bCs/>
        </w:rPr>
      </w:pPr>
      <w:r w:rsidRPr="00D80876">
        <w:t xml:space="preserve">c) </w:t>
      </w:r>
      <w:r w:rsidRPr="00D80876">
        <w:rPr>
          <w:bCs/>
        </w:rPr>
        <w:t xml:space="preserve">Để đảm bảo cơ cấu </w:t>
      </w:r>
      <w:r w:rsidR="00656111">
        <w:rPr>
          <w:bCs/>
        </w:rPr>
        <w:t>đầu tư phát triển</w:t>
      </w:r>
      <w:r w:rsidRPr="00D80876">
        <w:rPr>
          <w:bCs/>
        </w:rPr>
        <w:t xml:space="preserve"> giữa NSTW/NSĐP như trên, dự kiến phải </w:t>
      </w:r>
      <w:r w:rsidRPr="00D80876">
        <w:t>sửa đổi, bổ sung các quy định về phân cấp NSNN (sửa đổi Luật NSNN)</w:t>
      </w:r>
      <w:r w:rsidR="00E505FB" w:rsidRPr="00D80876">
        <w:t xml:space="preserve"> để đảm bảo vai trò chủ đạo của NSTW </w:t>
      </w:r>
      <w:r w:rsidR="00540587" w:rsidRPr="00D80876">
        <w:t>và chủ động của NSĐP trình các cấp có thẩm quyền được quy định tại Văn kiện Đại hội Đảng XIII</w:t>
      </w:r>
      <w:r w:rsidRPr="00D80876">
        <w:t xml:space="preserve">. Đây là rủi ro rất lớn, nhất là trong bối cảnh, các khoản thu phân chia của một số địa phương điều tiết tăng chậm do hoạt động sản xuất kinh doanh cần thời gian khôi phục sau tác động của đại dịch Covid-19; cũng như </w:t>
      </w:r>
      <w:r w:rsidRPr="00D80876">
        <w:rPr>
          <w:bCs/>
        </w:rPr>
        <w:t>cần phải dành nguồn lực hợp lý để các địa phương thực hiện nhiệm vụ phát triển kinh tế - xã hội đã phân cấp cho các địa phương.</w:t>
      </w:r>
    </w:p>
    <w:p w:rsidR="003346CB" w:rsidRPr="00D80876" w:rsidRDefault="0008064B" w:rsidP="00224BAF">
      <w:r w:rsidRPr="00D80876">
        <w:t>d) Rủi ro lớn đối với chi ngân sách trong thời gian tới gắn với các nghĩa vụ chi dự phòng lớn và chưa tính toán được đầy đủ.</w:t>
      </w:r>
      <w:r w:rsidR="005E6B35" w:rsidRPr="00D80876">
        <w:t xml:space="preserve"> Một số địa phương</w:t>
      </w:r>
      <w:r w:rsidR="00764B0F" w:rsidRPr="00D80876">
        <w:t xml:space="preserve"> mức dư nợ vay đã tiến gần mức giới hạn dư nợ được phép theo quy định của Luật NSNN, </w:t>
      </w:r>
      <w:r w:rsidR="005E6B35" w:rsidRPr="00D80876">
        <w:lastRenderedPageBreak/>
        <w:t>chưa xử lý d</w:t>
      </w:r>
      <w:r w:rsidR="004E6EFB" w:rsidRPr="00D80876">
        <w:t>ứ</w:t>
      </w:r>
      <w:r w:rsidR="005E6B35" w:rsidRPr="00D80876">
        <w:t xml:space="preserve">t điểm </w:t>
      </w:r>
      <w:r w:rsidR="00A31204">
        <w:t>n</w:t>
      </w:r>
      <w:r w:rsidR="005E6B35" w:rsidRPr="00D80876">
        <w:t>ợ đọng XDCB; v</w:t>
      </w:r>
      <w:r w:rsidRPr="00D80876">
        <w:t xml:space="preserve">iệc chuyển một số dự án đầu tư theo hình thức đối tác công tư PPP thành đầu tư từ NSNN, chuyển một số dự án vay </w:t>
      </w:r>
      <w:r w:rsidR="005E6B35" w:rsidRPr="00D80876">
        <w:t>nướ</w:t>
      </w:r>
      <w:r w:rsidR="00D47027">
        <w:t>c ngoài cho c</w:t>
      </w:r>
      <w:r w:rsidR="005E6B35" w:rsidRPr="00D80876">
        <w:t xml:space="preserve">hính quyền địa phương nhận nợ </w:t>
      </w:r>
      <w:r w:rsidRPr="00D80876">
        <w:t xml:space="preserve">cũng tạo thêm áp lực đối với chi ngân sách, nghĩa vụ nợ. </w:t>
      </w:r>
    </w:p>
    <w:p w:rsidR="003346CB" w:rsidRPr="00D80876" w:rsidRDefault="0008064B" w:rsidP="00224BAF">
      <w:r w:rsidRPr="00D80876">
        <w:t>đ) Khả</w:t>
      </w:r>
      <w:r w:rsidR="00EB641F" w:rsidRPr="00D80876">
        <w:t xml:space="preserve"> năng vay nợ</w:t>
      </w:r>
      <w:r w:rsidRPr="00D80876">
        <w:t>, rủi ro lãi suất</w:t>
      </w:r>
    </w:p>
    <w:p w:rsidR="003346CB" w:rsidRPr="00D80876" w:rsidRDefault="0008064B" w:rsidP="00224BAF">
      <w:r w:rsidRPr="00D80876">
        <w:rPr>
          <w:bCs/>
        </w:rPr>
        <w:t>Tổng nhu cầu huy động của Chính</w:t>
      </w:r>
      <w:r w:rsidR="005E6B35" w:rsidRPr="00D80876">
        <w:rPr>
          <w:bCs/>
        </w:rPr>
        <w:t xml:space="preserve"> quyền địa phương là rất lớn</w:t>
      </w:r>
      <w:r w:rsidR="00AD6B03" w:rsidRPr="00D80876">
        <w:rPr>
          <w:bCs/>
        </w:rPr>
        <w:t>, t</w:t>
      </w:r>
      <w:r w:rsidRPr="00D80876">
        <w:t>rong khi dự kiến</w:t>
      </w:r>
      <w:r w:rsidR="005E6B35" w:rsidRPr="00D80876">
        <w:t xml:space="preserve"> </w:t>
      </w:r>
      <w:r w:rsidRPr="00D80876">
        <w:t xml:space="preserve">khả năng nguồn vay ưu đãi ODA bình quân các năm chỉ tương đương giai đoạn </w:t>
      </w:r>
      <w:r w:rsidR="0026450F" w:rsidRPr="00D80876">
        <w:t>2016 - 2020</w:t>
      </w:r>
      <w:r w:rsidR="004852E0" w:rsidRPr="00D80876">
        <w:t xml:space="preserve">, </w:t>
      </w:r>
      <w:r w:rsidR="004852E0" w:rsidRPr="00D80876">
        <w:rPr>
          <w:bCs/>
        </w:rPr>
        <w:t>có xu hướng giảm</w:t>
      </w:r>
      <w:r w:rsidRPr="00D80876">
        <w:t xml:space="preserve">; trường hợp tăng huy động nguồn </w:t>
      </w:r>
      <w:r w:rsidR="008C4635" w:rsidRPr="00D80876">
        <w:t>trong</w:t>
      </w:r>
      <w:r w:rsidRPr="00D80876">
        <w:t xml:space="preserve"> nước thì chỉ có thể thực hiện qua phát hành trái phiếu </w:t>
      </w:r>
      <w:r w:rsidR="008C4635" w:rsidRPr="00D80876">
        <w:t>chính quyền địa phương</w:t>
      </w:r>
      <w:r w:rsidRPr="00D80876">
        <w:t>, với chi phí vay tiếp cận lãi suất thị trường.</w:t>
      </w:r>
      <w:r w:rsidR="004852E0" w:rsidRPr="00D80876">
        <w:t xml:space="preserve"> </w:t>
      </w:r>
      <w:bookmarkStart w:id="129" w:name="_Toc62654375"/>
      <w:bookmarkStart w:id="130" w:name="_Toc62657728"/>
    </w:p>
    <w:p w:rsidR="003346CB" w:rsidRPr="00D80876" w:rsidRDefault="0008064B" w:rsidP="00224BAF">
      <w:pPr>
        <w:pStyle w:val="Heading1"/>
      </w:pPr>
      <w:bookmarkStart w:id="131" w:name="_Toc87619934"/>
      <w:r w:rsidRPr="00D80876">
        <w:t xml:space="preserve">IV. GIẢI PHÁP THỰC HIỆN </w:t>
      </w:r>
      <w:r w:rsidR="005E6B35" w:rsidRPr="00D80876">
        <w:t>CÔNG TÁC QUẢN LÝ NỢ VÀ GIÁM SÁT RỦI RO TÀI KHÓA NGÂN SÁCH ĐỊA PHƯƠNG</w:t>
      </w:r>
      <w:r w:rsidRPr="00D80876">
        <w:t xml:space="preserve"> NĂM 2021</w:t>
      </w:r>
      <w:r w:rsidR="005E6B35" w:rsidRPr="00D80876">
        <w:t xml:space="preserve"> </w:t>
      </w:r>
      <w:r w:rsidRPr="00D80876">
        <w:t>-</w:t>
      </w:r>
      <w:r w:rsidR="005E6B35" w:rsidRPr="00D80876">
        <w:t xml:space="preserve"> </w:t>
      </w:r>
      <w:r w:rsidRPr="00D80876">
        <w:t>2022</w:t>
      </w:r>
      <w:bookmarkEnd w:id="129"/>
      <w:bookmarkEnd w:id="130"/>
      <w:bookmarkEnd w:id="131"/>
      <w:r w:rsidRPr="00D80876">
        <w:t xml:space="preserve"> </w:t>
      </w:r>
    </w:p>
    <w:p w:rsidR="003346CB" w:rsidRPr="00D80876" w:rsidRDefault="0008064B" w:rsidP="00224BAF">
      <w:r w:rsidRPr="00D80876">
        <w:rPr>
          <w:lang w:val="it-IT"/>
        </w:rPr>
        <w:t>Đ</w:t>
      </w:r>
      <w:r w:rsidRPr="00D80876">
        <w:t>ể đáp ứng các yêu cầu, mục tiêu, nhiệm vụ chủ yếu và định hướng kế hoạch tài chính - NSNN nêu trên, Quốc hội, Chính phủ, HĐND, UBND các tỉnh/thành phố thực hiện các nhóm giải pháp lớn như sau:</w:t>
      </w:r>
      <w:bookmarkStart w:id="132" w:name="_Toc62654376"/>
      <w:bookmarkStart w:id="133" w:name="_Toc62657729"/>
    </w:p>
    <w:p w:rsidR="00D835BD" w:rsidRPr="002045EF" w:rsidRDefault="0008064B" w:rsidP="00224BAF">
      <w:pPr>
        <w:pStyle w:val="Heading2"/>
        <w:rPr>
          <w:rStyle w:val="apple-style-span"/>
        </w:rPr>
      </w:pPr>
      <w:bookmarkStart w:id="134" w:name="_Toc87619935"/>
      <w:r w:rsidRPr="002045EF">
        <w:rPr>
          <w:rStyle w:val="apple-style-span"/>
        </w:rPr>
        <w:t>1. Tăng cường hiệu lực, hiệu quả thể chế tài chính, huy động các nguồn lực cho đầu tư phát triển kinh tế</w:t>
      </w:r>
      <w:r w:rsidR="00710FDF">
        <w:rPr>
          <w:rStyle w:val="apple-style-span"/>
        </w:rPr>
        <w:t xml:space="preserve"> </w:t>
      </w:r>
      <w:r w:rsidRPr="002045EF">
        <w:rPr>
          <w:rStyle w:val="apple-style-span"/>
        </w:rPr>
        <w:t>-</w:t>
      </w:r>
      <w:r w:rsidR="00710FDF">
        <w:rPr>
          <w:rStyle w:val="apple-style-span"/>
        </w:rPr>
        <w:t xml:space="preserve"> </w:t>
      </w:r>
      <w:r w:rsidRPr="002045EF">
        <w:rPr>
          <w:rStyle w:val="apple-style-span"/>
        </w:rPr>
        <w:t>xã hội</w:t>
      </w:r>
      <w:bookmarkEnd w:id="132"/>
      <w:bookmarkEnd w:id="133"/>
      <w:bookmarkEnd w:id="134"/>
    </w:p>
    <w:p w:rsidR="00152877" w:rsidRPr="00D80876" w:rsidRDefault="0008064B" w:rsidP="00224BAF">
      <w:pPr>
        <w:rPr>
          <w:rStyle w:val="apple-style-span"/>
          <w:spacing w:val="-2"/>
          <w:shd w:val="clear" w:color="auto" w:fill="FFFFFF"/>
          <w:lang w:val="sv-SE"/>
        </w:rPr>
      </w:pPr>
      <w:r w:rsidRPr="00D80876">
        <w:rPr>
          <w:rStyle w:val="apple-style-span"/>
          <w:bCs/>
          <w:shd w:val="clear" w:color="auto" w:fill="FFFFFF"/>
          <w:lang w:val="pt-BR"/>
        </w:rPr>
        <w:t xml:space="preserve">Hoàn thiện đồng bộ hệ thống thể chế, thị trường, bộ máy, công cụ </w:t>
      </w:r>
      <w:r w:rsidR="00373B05" w:rsidRPr="00D80876">
        <w:rPr>
          <w:rStyle w:val="apple-style-span"/>
          <w:bCs/>
          <w:shd w:val="clear" w:color="auto" w:fill="FFFFFF"/>
          <w:lang w:val="pt-BR"/>
        </w:rPr>
        <w:t xml:space="preserve">quản lý, </w:t>
      </w:r>
      <w:r w:rsidRPr="00D80876">
        <w:rPr>
          <w:rStyle w:val="apple-style-span"/>
          <w:bCs/>
          <w:shd w:val="clear" w:color="auto" w:fill="FFFFFF"/>
          <w:lang w:val="pt-BR"/>
        </w:rPr>
        <w:t>giám sát tài chính</w:t>
      </w:r>
      <w:r w:rsidR="00373B05" w:rsidRPr="00D80876">
        <w:rPr>
          <w:rStyle w:val="apple-style-span"/>
          <w:bCs/>
          <w:shd w:val="clear" w:color="auto" w:fill="FFFFFF"/>
          <w:lang w:val="pt-BR"/>
        </w:rPr>
        <w:t xml:space="preserve"> - NSNN</w:t>
      </w:r>
      <w:r w:rsidRPr="00D80876">
        <w:rPr>
          <w:rStyle w:val="apple-style-span"/>
          <w:bCs/>
          <w:shd w:val="clear" w:color="auto" w:fill="FFFFFF"/>
          <w:lang w:val="pt-BR"/>
        </w:rPr>
        <w:t xml:space="preserve"> theo nguyên tắc thị trường; phân định cụ thể phạm vi nhà nước và thị trường. </w:t>
      </w:r>
      <w:r w:rsidR="00373B05" w:rsidRPr="00D80876">
        <w:rPr>
          <w:spacing w:val="-2"/>
          <w:shd w:val="clear" w:color="auto" w:fill="FFFFFF"/>
          <w:lang w:val="it-IT"/>
        </w:rPr>
        <w:t xml:space="preserve">Sửa đổi Luật NSNN </w:t>
      </w:r>
      <w:r w:rsidR="00373B05" w:rsidRPr="00D80876">
        <w:rPr>
          <w:iCs/>
          <w:spacing w:val="2"/>
          <w:lang w:val="es-ES"/>
        </w:rPr>
        <w:t xml:space="preserve">và một số văn bản pháp luật có liên quan để </w:t>
      </w:r>
      <w:r w:rsidR="00373B05" w:rsidRPr="00D80876">
        <w:rPr>
          <w:lang w:val="nl-NL"/>
        </w:rPr>
        <w:t xml:space="preserve">điều chỉnh cơ chế phân cấp NSNN </w:t>
      </w:r>
      <w:r w:rsidR="00373B05" w:rsidRPr="00D80876">
        <w:rPr>
          <w:spacing w:val="-2"/>
          <w:shd w:val="clear" w:color="auto" w:fill="FFFFFF"/>
          <w:lang w:val="it-IT"/>
        </w:rPr>
        <w:t>theo hướng bảo đảm vai trò chủ đạo của NSTW,</w:t>
      </w:r>
      <w:r w:rsidR="00373B05" w:rsidRPr="00D80876">
        <w:rPr>
          <w:spacing w:val="-2"/>
          <w:shd w:val="clear" w:color="auto" w:fill="FFFFFF"/>
          <w:lang w:val="nl-NL"/>
        </w:rPr>
        <w:t xml:space="preserve"> khuyến khích các địa phương tăng thu, huy động các nguồn lực phát triển kinh tế - xã hội trên địa bàn,</w:t>
      </w:r>
      <w:r w:rsidR="00373B05" w:rsidRPr="00D80876">
        <w:rPr>
          <w:spacing w:val="-2"/>
          <w:shd w:val="clear" w:color="auto" w:fill="FFFFFF"/>
          <w:lang w:val="it-IT"/>
        </w:rPr>
        <w:t xml:space="preserve"> tham gia thực hiện các chương trình, dự án đầu tư trọng điểm quốc gia, thực hiện cải cách chính sách tiền lương và an sinh xã hội</w:t>
      </w:r>
      <w:r w:rsidR="0011025C" w:rsidRPr="00D80876">
        <w:rPr>
          <w:spacing w:val="-2"/>
          <w:shd w:val="clear" w:color="auto" w:fill="FFFFFF"/>
          <w:lang w:val="it-IT"/>
        </w:rPr>
        <w:t>,</w:t>
      </w:r>
      <w:r w:rsidR="00373B05" w:rsidRPr="00D80876">
        <w:rPr>
          <w:spacing w:val="-2"/>
          <w:shd w:val="clear" w:color="auto" w:fill="FFFFFF"/>
          <w:lang w:val="sv-SE"/>
        </w:rPr>
        <w:t xml:space="preserve"> tạo nền tảng để các cấp, các ngành phát huy tối đa lợi thế, tiềm năng, trách nhiệm trong tổ chức thực hiện nhiệm vụ.</w:t>
      </w:r>
      <w:r w:rsidR="00373B05" w:rsidRPr="00D80876">
        <w:rPr>
          <w:rStyle w:val="apple-style-span"/>
          <w:spacing w:val="-2"/>
          <w:shd w:val="clear" w:color="auto" w:fill="FFFFFF"/>
          <w:lang w:val="sv-SE"/>
        </w:rPr>
        <w:t xml:space="preserve"> </w:t>
      </w:r>
    </w:p>
    <w:p w:rsidR="008C33B2" w:rsidRPr="00D80876" w:rsidRDefault="002F0F33" w:rsidP="00224BAF">
      <w:pPr>
        <w:rPr>
          <w:rStyle w:val="apple-style-span"/>
          <w:shd w:val="clear" w:color="auto" w:fill="FFFFFF"/>
        </w:rPr>
      </w:pPr>
      <w:r w:rsidRPr="00D80876">
        <w:rPr>
          <w:shd w:val="clear" w:color="auto" w:fill="FFFFFF"/>
          <w:lang w:val="sv-SE"/>
        </w:rPr>
        <w:t xml:space="preserve">Tổng kết, đánh giá tình hình thực hiện các cơ chế, chính sách quản lý tài chính - ngân sách đặc thù quy định đối với </w:t>
      </w:r>
      <w:r w:rsidR="00A769CA" w:rsidRPr="00D80876">
        <w:rPr>
          <w:shd w:val="clear" w:color="auto" w:fill="FFFFFF"/>
          <w:lang w:val="sv-SE"/>
        </w:rPr>
        <w:t>TP.</w:t>
      </w:r>
      <w:r w:rsidR="00916874" w:rsidRPr="00D80876">
        <w:rPr>
          <w:shd w:val="clear" w:color="auto" w:fill="FFFFFF"/>
          <w:lang w:val="sv-SE"/>
        </w:rPr>
        <w:t xml:space="preserve"> </w:t>
      </w:r>
      <w:r w:rsidRPr="00D80876">
        <w:rPr>
          <w:shd w:val="clear" w:color="auto" w:fill="FFFFFF"/>
          <w:lang w:val="sv-SE"/>
        </w:rPr>
        <w:t xml:space="preserve">Hà Nội, </w:t>
      </w:r>
      <w:r w:rsidR="00A769CA" w:rsidRPr="00D80876">
        <w:rPr>
          <w:shd w:val="clear" w:color="auto" w:fill="FFFFFF"/>
          <w:lang w:val="sv-SE"/>
        </w:rPr>
        <w:t>TP.</w:t>
      </w:r>
      <w:r w:rsidR="00912FAA" w:rsidRPr="00D80876">
        <w:rPr>
          <w:shd w:val="clear" w:color="auto" w:fill="FFFFFF"/>
          <w:lang w:val="sv-SE"/>
        </w:rPr>
        <w:t xml:space="preserve"> </w:t>
      </w:r>
      <w:r w:rsidR="00E66C67">
        <w:rPr>
          <w:shd w:val="clear" w:color="auto" w:fill="FFFFFF"/>
          <w:lang w:val="sv-SE"/>
        </w:rPr>
        <w:t>HCM</w:t>
      </w:r>
      <w:r w:rsidRPr="00D80876">
        <w:rPr>
          <w:shd w:val="clear" w:color="auto" w:fill="FFFFFF"/>
          <w:lang w:val="sv-SE"/>
        </w:rPr>
        <w:t xml:space="preserve"> và một số </w:t>
      </w:r>
      <w:r w:rsidR="00A769CA" w:rsidRPr="00D80876">
        <w:rPr>
          <w:shd w:val="clear" w:color="auto" w:fill="FFFFFF"/>
          <w:lang w:val="sv-SE"/>
        </w:rPr>
        <w:t xml:space="preserve">địa phương </w:t>
      </w:r>
      <w:r w:rsidRPr="00D80876">
        <w:rPr>
          <w:shd w:val="clear" w:color="auto" w:fill="FFFFFF"/>
          <w:lang w:val="sv-SE"/>
        </w:rPr>
        <w:t>thời gian qua, làm rõ kết quả đạt được, hạn chế, nguyên nhân, trên cơ sở đó, kiến nghị điều chỉnh, bổ sung (nếu cần); tiếp tục nghiên cứu xây dựng cơ chế, chính sách quả</w:t>
      </w:r>
      <w:r w:rsidR="00A769CA" w:rsidRPr="00D80876">
        <w:rPr>
          <w:shd w:val="clear" w:color="auto" w:fill="FFFFFF"/>
          <w:lang w:val="sv-SE"/>
        </w:rPr>
        <w:t>n lý tài chính -</w:t>
      </w:r>
      <w:r w:rsidRPr="00D80876">
        <w:rPr>
          <w:shd w:val="clear" w:color="auto" w:fill="FFFFFF"/>
          <w:lang w:val="sv-SE"/>
        </w:rPr>
        <w:t xml:space="preserve"> ngân sách đặc thù phù hợp đối với một số địa phương có điều kiện.</w:t>
      </w:r>
      <w:r w:rsidR="008C33B2" w:rsidRPr="00D80876">
        <w:rPr>
          <w:rStyle w:val="apple-style-span"/>
          <w:shd w:val="clear" w:color="auto" w:fill="FFFFFF"/>
        </w:rPr>
        <w:t xml:space="preserve"> </w:t>
      </w:r>
      <w:proofErr w:type="gramStart"/>
      <w:r w:rsidR="008C33B2" w:rsidRPr="00D80876">
        <w:rPr>
          <w:rStyle w:val="apple-style-span"/>
          <w:shd w:val="clear" w:color="auto" w:fill="FFFFFF"/>
        </w:rPr>
        <w:t>Rà soát và hoàn thiện các cơ chế tài chính đặc thù áp dụng cho các vùng kinh tế trọng điểm, tạo động lực để các vùng kinh tế trọng điểm thực sự là các đầu tàu tăng trưởng kinh tế của cả nước.</w:t>
      </w:r>
      <w:proofErr w:type="gramEnd"/>
      <w:r w:rsidR="008C33B2" w:rsidRPr="00D80876">
        <w:rPr>
          <w:rStyle w:val="apple-style-span"/>
          <w:shd w:val="clear" w:color="auto" w:fill="FFFFFF"/>
        </w:rPr>
        <w:t xml:space="preserve"> Có cơ chế phù hợp để khai thác nguồn lực tài chính từ đất </w:t>
      </w:r>
      <w:proofErr w:type="gramStart"/>
      <w:r w:rsidR="008C33B2" w:rsidRPr="00D80876">
        <w:rPr>
          <w:rStyle w:val="apple-style-span"/>
          <w:shd w:val="clear" w:color="auto" w:fill="FFFFFF"/>
        </w:rPr>
        <w:t>đai</w:t>
      </w:r>
      <w:proofErr w:type="gramEnd"/>
      <w:r w:rsidR="008C33B2" w:rsidRPr="00D80876">
        <w:rPr>
          <w:rStyle w:val="apple-style-span"/>
          <w:shd w:val="clear" w:color="auto" w:fill="FFFFFF"/>
        </w:rPr>
        <w:t xml:space="preserve"> cho phát triển cơ sở hạ tầng.</w:t>
      </w:r>
    </w:p>
    <w:p w:rsidR="00152877" w:rsidRPr="00D80876" w:rsidRDefault="0008064B" w:rsidP="00224BAF">
      <w:pPr>
        <w:rPr>
          <w:rStyle w:val="apple-style-span"/>
          <w:shd w:val="clear" w:color="auto" w:fill="FFFFFF"/>
        </w:rPr>
      </w:pPr>
      <w:r w:rsidRPr="00D80876">
        <w:rPr>
          <w:rStyle w:val="apple-style-span"/>
          <w:shd w:val="clear" w:color="auto" w:fill="FFFFFF"/>
        </w:rPr>
        <w:t xml:space="preserve">Hoàn thiện thể chế đầu tư theo phương thức </w:t>
      </w:r>
      <w:r w:rsidRPr="00D80876">
        <w:rPr>
          <w:rStyle w:val="apple-style-span"/>
          <w:shd w:val="clear" w:color="auto" w:fill="FFFFFF"/>
          <w:lang w:val="pt-BR"/>
        </w:rPr>
        <w:t xml:space="preserve">đối tác </w:t>
      </w:r>
      <w:r w:rsidRPr="00D80876">
        <w:rPr>
          <w:rStyle w:val="apple-style-span"/>
          <w:shd w:val="clear" w:color="auto" w:fill="FFFFFF"/>
        </w:rPr>
        <w:t>công tư (PPP), khuyến khích sự tham gia của các thành phần kinh tế trong ĐTPT cơ sở hạ tầng</w:t>
      </w:r>
      <w:r w:rsidRPr="00D80876">
        <w:rPr>
          <w:rStyle w:val="apple-style-span"/>
          <w:shd w:val="clear" w:color="auto" w:fill="FFFFFF"/>
          <w:lang w:val="pt-BR"/>
        </w:rPr>
        <w:t xml:space="preserve"> kinh tế kỹ thuật; đầu tư </w:t>
      </w:r>
      <w:r w:rsidRPr="00D80876">
        <w:rPr>
          <w:rStyle w:val="apple-style-span"/>
          <w:shd w:val="clear" w:color="auto" w:fill="FFFFFF"/>
        </w:rPr>
        <w:t>vào nông nghiệp, nông thôn, nhất là các dự án áp dụng công nghệ cao, sạch, nông nghiệp hữu cơ, nông nghiệp sinh học, dự án đầu tư vào các vùng đặc biệt khó khăn</w:t>
      </w:r>
      <w:r w:rsidRPr="00D80876">
        <w:rPr>
          <w:rStyle w:val="apple-style-span"/>
          <w:shd w:val="clear" w:color="auto" w:fill="FFFFFF"/>
          <w:lang w:val="pt-BR"/>
        </w:rPr>
        <w:t>.</w:t>
      </w:r>
      <w:r w:rsidRPr="00D80876">
        <w:rPr>
          <w:rStyle w:val="apple-style-span"/>
          <w:shd w:val="clear" w:color="auto" w:fill="FFFFFF"/>
        </w:rPr>
        <w:t xml:space="preserve"> Đẩy mạnh việc thực hiện “xã hội hóa” đầu tư trong một số lĩnh vực như y tế, giáo dục, văn hóa, thể thao…, chuyển dịch từ nhà nước trực tiếp đầu </w:t>
      </w:r>
      <w:r w:rsidRPr="00D80876">
        <w:rPr>
          <w:rStyle w:val="apple-style-span"/>
          <w:shd w:val="clear" w:color="auto" w:fill="FFFFFF"/>
        </w:rPr>
        <w:lastRenderedPageBreak/>
        <w:t xml:space="preserve">tư sang các doanh nghiệp đầu tư theo quy hoạch.  </w:t>
      </w:r>
    </w:p>
    <w:p w:rsidR="006963F5" w:rsidRPr="00D80876" w:rsidRDefault="002F0F33" w:rsidP="00224BAF">
      <w:bookmarkStart w:id="135" w:name="_Toc62654377"/>
      <w:bookmarkStart w:id="136" w:name="_Toc62657730"/>
      <w:r w:rsidRPr="00D80876">
        <w:rPr>
          <w:iCs/>
        </w:rPr>
        <w:t xml:space="preserve">Tập trung </w:t>
      </w:r>
      <w:r w:rsidRPr="00D80876">
        <w:rPr>
          <w:rStyle w:val="apple-style-span"/>
          <w:bCs/>
          <w:shd w:val="clear" w:color="auto" w:fill="FFFFFF"/>
          <w:lang w:val="pt-BR"/>
        </w:rPr>
        <w:t xml:space="preserve">hoàn thiện hệ thống pháp luật tài chính, chế độ kế toán, kiểm toán...đối với doanh nghiệp, tạo môi trường đầu tư cạnh tranh, bình đẳng, minh bạch, ổn định để thu hút các nguồn lực cho đầu tư phát triển kinh tế - xã hội. </w:t>
      </w:r>
      <w:r w:rsidR="006963F5" w:rsidRPr="00D80876">
        <w:rPr>
          <w:rStyle w:val="apple-style-span"/>
          <w:shd w:val="clear" w:color="auto" w:fill="FFFFFF"/>
        </w:rPr>
        <w:t>Hoàn thiện chính sách thu hút vốn đầu tư nước ngoài, c</w:t>
      </w:r>
      <w:r w:rsidR="006963F5" w:rsidRPr="00D80876">
        <w:rPr>
          <w:lang w:val="nl-NL"/>
        </w:rPr>
        <w:t xml:space="preserve">huyển trọng điểm chính sách thu hút, hợp tác </w:t>
      </w:r>
      <w:r w:rsidR="006963F5" w:rsidRPr="00D80876">
        <w:t>đầu tư nước ngoài</w:t>
      </w:r>
      <w:r w:rsidR="006963F5" w:rsidRPr="00D80876">
        <w:rPr>
          <w:lang w:val="nl-NL"/>
        </w:rPr>
        <w:t xml:space="preserve"> từ số lượng sang chất lượng, ưu tiên các dự án tạo giá trị gia tăng cao, có mô hình quản trị hiện đại, kết nối chuỗi cung ứng toàn cầu, có tác động lan tỏa, kết nối chặt chẽ hữu cơ với khu vực kinh tế trong nước, </w:t>
      </w:r>
      <w:r w:rsidR="006963F5" w:rsidRPr="00D80876">
        <w:rPr>
          <w:rStyle w:val="apple-style-span"/>
          <w:shd w:val="clear" w:color="auto" w:fill="FFFFFF"/>
        </w:rPr>
        <w:t>đi đôi với bảo vệ môi trường, phát triển bền vững</w:t>
      </w:r>
      <w:r w:rsidR="006963F5" w:rsidRPr="00D80876">
        <w:t xml:space="preserve">. </w:t>
      </w:r>
    </w:p>
    <w:p w:rsidR="00D835BD" w:rsidRPr="002045EF" w:rsidRDefault="0008064B" w:rsidP="00224BAF">
      <w:pPr>
        <w:pStyle w:val="Heading2"/>
        <w:rPr>
          <w:rStyle w:val="apple-style-span"/>
        </w:rPr>
      </w:pPr>
      <w:bookmarkStart w:id="137" w:name="_Toc87619936"/>
      <w:r w:rsidRPr="002045EF">
        <w:rPr>
          <w:rStyle w:val="apple-style-span"/>
        </w:rPr>
        <w:t>2. Tiếp tục đổi mới chính sách động viên nguồn lực công, đảm bảo nguồn thu ngân sách và cải thiện môi trường đầu tư, kinh doanh</w:t>
      </w:r>
      <w:bookmarkEnd w:id="135"/>
      <w:bookmarkEnd w:id="136"/>
      <w:bookmarkEnd w:id="137"/>
    </w:p>
    <w:p w:rsidR="00CB2753" w:rsidRPr="00D80876" w:rsidRDefault="008564B1" w:rsidP="00224BAF">
      <w:pPr>
        <w:rPr>
          <w:rStyle w:val="apple-style-span"/>
          <w:shd w:val="clear" w:color="auto" w:fill="FFFFFF"/>
        </w:rPr>
      </w:pPr>
      <w:r w:rsidRPr="00D80876">
        <w:rPr>
          <w:rStyle w:val="apple-style-span"/>
          <w:shd w:val="clear" w:color="auto" w:fill="FFFFFF"/>
          <w:lang w:val="vi-VN"/>
        </w:rPr>
        <w:t>Tiếp tục hoàn thiện hệ thống thu</w:t>
      </w:r>
      <w:r w:rsidRPr="00D80876">
        <w:rPr>
          <w:rStyle w:val="apple-style-span"/>
          <w:shd w:val="clear" w:color="auto" w:fill="FFFFFF"/>
          <w:lang w:val="es-ES"/>
        </w:rPr>
        <w:t xml:space="preserve"> ngân sách theo Văn kiện Đạ</w:t>
      </w:r>
      <w:r w:rsidR="006963F5" w:rsidRPr="00D80876">
        <w:rPr>
          <w:rStyle w:val="apple-style-span"/>
          <w:shd w:val="clear" w:color="auto" w:fill="FFFFFF"/>
          <w:lang w:val="es-ES"/>
        </w:rPr>
        <w:t>i h</w:t>
      </w:r>
      <w:r w:rsidRPr="00D80876">
        <w:rPr>
          <w:rStyle w:val="apple-style-span"/>
          <w:shd w:val="clear" w:color="auto" w:fill="FFFFFF"/>
          <w:lang w:val="es-ES"/>
        </w:rPr>
        <w:t>ội XIII của Đảng, Nghị quyết số 07-NQ/TW của Bộ Chính trị</w:t>
      </w:r>
      <w:r w:rsidRPr="00D80876">
        <w:rPr>
          <w:rStyle w:val="apple-style-span"/>
          <w:shd w:val="clear" w:color="auto" w:fill="FFFFFF"/>
          <w:lang w:val="af-ZA"/>
        </w:rPr>
        <w:t xml:space="preserve">, </w:t>
      </w:r>
      <w:r w:rsidRPr="00D80876">
        <w:rPr>
          <w:rStyle w:val="apple-style-span"/>
          <w:shd w:val="clear" w:color="auto" w:fill="FFFFFF"/>
          <w:lang w:val="es-ES"/>
        </w:rPr>
        <w:t>sửa đổi bổ sung các luật về thuế theo hướng mở rộng cơ sở thu, nuôi dưỡng, chống xói mòn nguồn thu, nhất là từ khu vực kinh tế phi chính thức, các hoạt động thương mại điện tử; áp dụng thuế suất hợp lý, thu hẹp các ưu đãi thuế</w:t>
      </w:r>
      <w:r w:rsidRPr="00D80876">
        <w:rPr>
          <w:bCs/>
          <w:lang w:val="it-IT"/>
        </w:rPr>
        <w:t>,...; khai thác hiệu quả nguồn lực từ đất đai cho phát triển kết cấu hạ tầng; quyết liệt triển khai Luật quản lý thuế, áp dụng hóa đơn điện tử, chống thất thu, chuyển giá, phấn đấu giảm tỷ lệ nợ đọng thuế, tăng thu NSNN</w:t>
      </w:r>
      <w:r w:rsidRPr="00D80876">
        <w:rPr>
          <w:shd w:val="clear" w:color="auto" w:fill="FFFFFF"/>
          <w:lang w:val="it-IT"/>
        </w:rPr>
        <w:t xml:space="preserve">; </w:t>
      </w:r>
      <w:r w:rsidRPr="00D80876">
        <w:rPr>
          <w:rStyle w:val="apple-style-span"/>
          <w:shd w:val="clear" w:color="auto" w:fill="FFFFFF"/>
          <w:lang w:val="af-ZA"/>
        </w:rPr>
        <w:t>cơ cấu lại thu, đảm bảo nguồn ngân sách</w:t>
      </w:r>
      <w:r w:rsidRPr="00D80876">
        <w:rPr>
          <w:rStyle w:val="apple-style-span"/>
          <w:shd w:val="clear" w:color="auto" w:fill="FFFFFF"/>
          <w:lang w:val="vi-VN"/>
        </w:rPr>
        <w:t xml:space="preserve"> bền vững</w:t>
      </w:r>
      <w:r w:rsidRPr="00D80876">
        <w:rPr>
          <w:rStyle w:val="apple-style-span"/>
          <w:shd w:val="clear" w:color="auto" w:fill="FFFFFF"/>
          <w:lang w:val="af-ZA"/>
        </w:rPr>
        <w:t xml:space="preserve">, thực hiện các mục tiêu phát triển </w:t>
      </w:r>
      <w:r w:rsidRPr="00D80876">
        <w:rPr>
          <w:rStyle w:val="apple-style-span"/>
          <w:bCs/>
          <w:shd w:val="clear" w:color="auto" w:fill="FFFFFF"/>
          <w:lang w:val="pt-BR"/>
        </w:rPr>
        <w:t>kinh tế</w:t>
      </w:r>
      <w:r w:rsidR="002469F7">
        <w:rPr>
          <w:rStyle w:val="apple-style-span"/>
          <w:bCs/>
          <w:shd w:val="clear" w:color="auto" w:fill="FFFFFF"/>
          <w:lang w:val="pt-BR"/>
        </w:rPr>
        <w:t xml:space="preserve"> </w:t>
      </w:r>
      <w:r w:rsidRPr="00D80876">
        <w:rPr>
          <w:rStyle w:val="apple-style-span"/>
          <w:bCs/>
          <w:shd w:val="clear" w:color="auto" w:fill="FFFFFF"/>
          <w:lang w:val="pt-BR"/>
        </w:rPr>
        <w:t>-</w:t>
      </w:r>
      <w:r w:rsidR="002469F7">
        <w:rPr>
          <w:rStyle w:val="apple-style-span"/>
          <w:bCs/>
          <w:shd w:val="clear" w:color="auto" w:fill="FFFFFF"/>
          <w:lang w:val="pt-BR"/>
        </w:rPr>
        <w:t xml:space="preserve"> </w:t>
      </w:r>
      <w:r w:rsidRPr="00D80876">
        <w:rPr>
          <w:rStyle w:val="apple-style-span"/>
          <w:bCs/>
          <w:shd w:val="clear" w:color="auto" w:fill="FFFFFF"/>
          <w:lang w:val="pt-BR"/>
        </w:rPr>
        <w:t>xã hội</w:t>
      </w:r>
      <w:r w:rsidRPr="00D80876">
        <w:rPr>
          <w:rStyle w:val="apple-style-span"/>
          <w:shd w:val="clear" w:color="auto" w:fill="FFFFFF"/>
          <w:lang w:val="af-ZA"/>
        </w:rPr>
        <w:t>, tiến bộ công bằng xã hội</w:t>
      </w:r>
      <w:r w:rsidRPr="00D80876">
        <w:rPr>
          <w:rStyle w:val="apple-style-span"/>
          <w:shd w:val="clear" w:color="auto" w:fill="FFFFFF"/>
          <w:lang w:val="vi-VN"/>
        </w:rPr>
        <w:t xml:space="preserve">. </w:t>
      </w:r>
    </w:p>
    <w:p w:rsidR="008362F1" w:rsidRPr="00D80876" w:rsidRDefault="0008064B" w:rsidP="00224BAF">
      <w:pPr>
        <w:rPr>
          <w:rStyle w:val="apple-style-span"/>
          <w:spacing w:val="-2"/>
          <w:shd w:val="clear" w:color="auto" w:fill="FFFFFF"/>
        </w:rPr>
      </w:pPr>
      <w:r w:rsidRPr="00D80876">
        <w:rPr>
          <w:rStyle w:val="apple-style-span"/>
          <w:spacing w:val="-2"/>
          <w:shd w:val="clear" w:color="auto" w:fill="FFFFFF"/>
          <w:lang w:val="vi-VN"/>
        </w:rPr>
        <w:t>Thực hiện đơn giản hóa hệ thống chính sách ưu đãi thuế thông qua việc rà soát lại các ưu đãi, thu hẹp phạm vi, lĩnh vực, ngành nghề ưu đãi; tập trung ưu đãi đối với một số ngành nghề mũi nhọn, địa bàn</w:t>
      </w:r>
      <w:r w:rsidR="005E6B35" w:rsidRPr="00D80876">
        <w:rPr>
          <w:rStyle w:val="apple-style-span"/>
          <w:spacing w:val="-2"/>
          <w:shd w:val="clear" w:color="auto" w:fill="FFFFFF"/>
        </w:rPr>
        <w:t xml:space="preserve"> có điều kiện kinh tế </w:t>
      </w:r>
      <w:r w:rsidR="00655024" w:rsidRPr="00D80876">
        <w:rPr>
          <w:rStyle w:val="apple-style-span"/>
          <w:spacing w:val="-2"/>
          <w:shd w:val="clear" w:color="auto" w:fill="FFFFFF"/>
        </w:rPr>
        <w:t xml:space="preserve">- </w:t>
      </w:r>
      <w:r w:rsidR="005E6B35" w:rsidRPr="00D80876">
        <w:rPr>
          <w:rStyle w:val="apple-style-span"/>
          <w:spacing w:val="-2"/>
          <w:shd w:val="clear" w:color="auto" w:fill="FFFFFF"/>
        </w:rPr>
        <w:t>xã hội đặc biệt khó khăn</w:t>
      </w:r>
      <w:r w:rsidRPr="00D80876">
        <w:rPr>
          <w:rStyle w:val="apple-style-span"/>
          <w:spacing w:val="-2"/>
          <w:shd w:val="clear" w:color="auto" w:fill="FFFFFF"/>
          <w:lang w:val="vi-VN"/>
        </w:rPr>
        <w:t xml:space="preserve">, đảm bảo tính ổn định trong trung và dài hạn của hệ thống chính sách. </w:t>
      </w:r>
    </w:p>
    <w:p w:rsidR="008362F1" w:rsidRPr="00D80876" w:rsidRDefault="0008064B" w:rsidP="00224BAF">
      <w:pPr>
        <w:rPr>
          <w:rStyle w:val="apple-style-span"/>
          <w:shd w:val="clear" w:color="auto" w:fill="FFFFFF"/>
        </w:rPr>
      </w:pPr>
      <w:r w:rsidRPr="00D80876">
        <w:rPr>
          <w:rStyle w:val="apple-style-span"/>
          <w:shd w:val="clear" w:color="auto" w:fill="FFFFFF"/>
          <w:lang w:val="vi-VN"/>
        </w:rPr>
        <w:t>Nghiên cứu, hoàn thiện chính sách thuế bảo vệ môi trường theo hướng trở thành một công cụ kinh tế quan trọng góp phần hạn chế việc sản xuất, sử dụng hàng hóa</w:t>
      </w:r>
      <w:r w:rsidRPr="00D80876">
        <w:rPr>
          <w:rStyle w:val="apple-style-span"/>
          <w:shd w:val="clear" w:color="auto" w:fill="FFFFFF"/>
        </w:rPr>
        <w:t xml:space="preserve"> ít </w:t>
      </w:r>
      <w:r w:rsidRPr="00D80876">
        <w:rPr>
          <w:rStyle w:val="apple-style-span"/>
          <w:shd w:val="clear" w:color="auto" w:fill="FFFFFF"/>
          <w:lang w:val="vi-VN"/>
        </w:rPr>
        <w:t>thân thiện với môi trường, hướng tới phát triển bền vững; đảm bảo mức thuế bảo vệ môi trường tiếp cận dần với mức độ ô nhiễm của các hàng hóa thuộc đối tượng chịu thuế.</w:t>
      </w:r>
    </w:p>
    <w:p w:rsidR="00405541" w:rsidRPr="00D80876" w:rsidRDefault="00405541" w:rsidP="00224BAF">
      <w:pPr>
        <w:rPr>
          <w:rStyle w:val="apple-style-span"/>
          <w:shd w:val="clear" w:color="auto" w:fill="FFFFFF"/>
        </w:rPr>
      </w:pPr>
      <w:r w:rsidRPr="00D80876">
        <w:rPr>
          <w:rStyle w:val="apple-style-span"/>
          <w:shd w:val="clear" w:color="auto" w:fill="FFFFFF"/>
        </w:rPr>
        <w:t xml:space="preserve">Tiếp tục triển khai các giải pháp đồng bộ phát triển thị trường trái phiếu, trong đó có trái phiếu chính quyền địa phương; </w:t>
      </w:r>
    </w:p>
    <w:p w:rsidR="00405541" w:rsidRPr="00D80876" w:rsidRDefault="00405541" w:rsidP="00224BAF">
      <w:pPr>
        <w:rPr>
          <w:rStyle w:val="apple-style-span"/>
          <w:shd w:val="clear" w:color="auto" w:fill="FFFFFF"/>
        </w:rPr>
      </w:pPr>
      <w:r w:rsidRPr="00D80876">
        <w:rPr>
          <w:rStyle w:val="apple-style-span"/>
          <w:shd w:val="clear" w:color="auto" w:fill="FFFFFF"/>
        </w:rPr>
        <w:t>Rà soát khung phát lý về hoạt động đầu tư của các nhà đầu tư tổ chức như Bảo hiểm xã hội, các tổ chức tín dụng, doanh nghiệp bảo hiểm, các quỹ đầu tư, quỹ hưu trí để tăng cầu đầu tư đối với các sản phẩm trên thị trường trái phiếu, chứng khoán, bao gồm trái phiếu chính quyền địa phương.</w:t>
      </w:r>
    </w:p>
    <w:p w:rsidR="008362F1" w:rsidRPr="002045EF" w:rsidRDefault="0008064B" w:rsidP="00224BAF">
      <w:pPr>
        <w:pStyle w:val="Heading2"/>
        <w:rPr>
          <w:rStyle w:val="apple-style-span"/>
        </w:rPr>
      </w:pPr>
      <w:bookmarkStart w:id="138" w:name="_Toc62654378"/>
      <w:bookmarkStart w:id="139" w:name="_Toc62657731"/>
      <w:bookmarkStart w:id="140" w:name="_Toc87619937"/>
      <w:r w:rsidRPr="002045EF">
        <w:rPr>
          <w:rStyle w:val="apple-style-span"/>
        </w:rPr>
        <w:t>3. Tăng cường hiệu quả phân bổ, quản lý, sử dụng nguồn lực tài chính – NSNN với quá trình phát triển kinh tế - xã hội</w:t>
      </w:r>
      <w:bookmarkEnd w:id="138"/>
      <w:bookmarkEnd w:id="139"/>
      <w:bookmarkEnd w:id="140"/>
    </w:p>
    <w:p w:rsidR="008362F1" w:rsidRPr="00D80876" w:rsidRDefault="0008064B" w:rsidP="00224BAF">
      <w:r w:rsidRPr="00D80876">
        <w:rPr>
          <w:rStyle w:val="apple-style-span"/>
          <w:shd w:val="clear" w:color="auto" w:fill="FFFFFF"/>
          <w:lang w:val="it-IT"/>
        </w:rPr>
        <w:t xml:space="preserve">Hoàn thiện khung pháp lý có liên quan đến quản lý, sử dụng tài sản công, đặc biệt là pháp luật tài chính về đất đai, tài nguyên, thiên nhiên, định giá, xác định giá trị </w:t>
      </w:r>
      <w:r w:rsidR="00EA44EB" w:rsidRPr="00D80876">
        <w:rPr>
          <w:rStyle w:val="apple-style-span"/>
          <w:shd w:val="clear" w:color="auto" w:fill="FFFFFF"/>
          <w:lang w:val="it-IT"/>
        </w:rPr>
        <w:t>DNNN</w:t>
      </w:r>
      <w:r w:rsidRPr="00D80876">
        <w:rPr>
          <w:rStyle w:val="apple-style-span"/>
          <w:shd w:val="clear" w:color="auto" w:fill="FFFFFF"/>
          <w:lang w:val="it-IT"/>
        </w:rPr>
        <w:t xml:space="preserve"> khi cổ phần hóa...</w:t>
      </w:r>
      <w:r w:rsidR="005E6B35" w:rsidRPr="00D80876">
        <w:t xml:space="preserve"> </w:t>
      </w:r>
      <w:proofErr w:type="gramStart"/>
      <w:r w:rsidR="005E6B35" w:rsidRPr="00D80876">
        <w:t xml:space="preserve">Áp dụng nguyên tắc thị trường trong quản lý, khai thác, sử dụng và phân bổ các nguồn lực công tiết kiệm, </w:t>
      </w:r>
      <w:r w:rsidR="0011025C" w:rsidRPr="00D80876">
        <w:t>hiệu quả</w:t>
      </w:r>
      <w:r w:rsidR="005E6B35" w:rsidRPr="00D80876">
        <w:t>.</w:t>
      </w:r>
      <w:proofErr w:type="gramEnd"/>
      <w:r w:rsidR="005E6B35" w:rsidRPr="00D80876">
        <w:t xml:space="preserve"> </w:t>
      </w:r>
    </w:p>
    <w:p w:rsidR="008362F1" w:rsidRPr="00D80876" w:rsidRDefault="0008064B" w:rsidP="00224BAF">
      <w:pPr>
        <w:rPr>
          <w:rStyle w:val="apple-style-span"/>
          <w:spacing w:val="-4"/>
          <w:shd w:val="clear" w:color="auto" w:fill="FFFFFF"/>
        </w:rPr>
      </w:pPr>
      <w:r w:rsidRPr="00D80876">
        <w:rPr>
          <w:rStyle w:val="apple-style-span"/>
          <w:spacing w:val="-4"/>
          <w:shd w:val="clear" w:color="auto" w:fill="FFFFFF"/>
          <w:lang w:val="vi-VN"/>
        </w:rPr>
        <w:lastRenderedPageBreak/>
        <w:t xml:space="preserve">Đẩy mạnh việc quản lý tài chính </w:t>
      </w:r>
      <w:r w:rsidRPr="00D80876">
        <w:rPr>
          <w:rStyle w:val="apple-style-span"/>
          <w:spacing w:val="-4"/>
          <w:shd w:val="clear" w:color="auto" w:fill="FFFFFF"/>
        </w:rPr>
        <w:t>-</w:t>
      </w:r>
      <w:r w:rsidRPr="00D80876">
        <w:rPr>
          <w:rStyle w:val="apple-style-span"/>
          <w:spacing w:val="-4"/>
          <w:shd w:val="clear" w:color="auto" w:fill="FFFFFF"/>
          <w:lang w:val="vi-VN"/>
        </w:rPr>
        <w:t xml:space="preserve"> </w:t>
      </w:r>
      <w:r w:rsidRPr="00D80876">
        <w:rPr>
          <w:rStyle w:val="apple-style-span"/>
          <w:spacing w:val="-4"/>
          <w:shd w:val="clear" w:color="auto" w:fill="FFFFFF"/>
        </w:rPr>
        <w:t>NSNN</w:t>
      </w:r>
      <w:r w:rsidRPr="00D80876">
        <w:rPr>
          <w:rStyle w:val="apple-style-span"/>
          <w:spacing w:val="-4"/>
          <w:shd w:val="clear" w:color="auto" w:fill="FFFFFF"/>
          <w:lang w:val="vi-VN"/>
        </w:rPr>
        <w:t xml:space="preserve"> trung hạn, quán triệt nguyên tắc chi trong phạm vi nguồn lực, đảm bảo sự đồng bộ, thống nhất giữa kế hoạch đầu tư công trung hạn với kế hoạch nợ công, kế hoạch tài chính trung hạn, thực hiện thống nhất kế hoạch tài chính trung hạn 03 năm (cuốn chiếu) theo quy định của Luật NSNN và Thông lệ quốc tế cả chi ĐTPT, chi thường xuyên</w:t>
      </w:r>
      <w:r w:rsidR="008E7DD6" w:rsidRPr="00D80876">
        <w:rPr>
          <w:rStyle w:val="apple-style-span"/>
          <w:spacing w:val="-4"/>
          <w:shd w:val="clear" w:color="auto" w:fill="FFFFFF"/>
        </w:rPr>
        <w:t>,</w:t>
      </w:r>
      <w:r w:rsidRPr="00D80876">
        <w:rPr>
          <w:rStyle w:val="apple-style-span"/>
          <w:spacing w:val="-4"/>
          <w:shd w:val="clear" w:color="auto" w:fill="FFFFFF"/>
          <w:lang w:val="vi-VN"/>
        </w:rPr>
        <w:t xml:space="preserve"> </w:t>
      </w:r>
      <w:r w:rsidR="008E7DD6" w:rsidRPr="00D80876">
        <w:rPr>
          <w:rStyle w:val="apple-style-span"/>
          <w:spacing w:val="-4"/>
          <w:shd w:val="clear" w:color="auto" w:fill="FFFFFF"/>
        </w:rPr>
        <w:t>vay,</w:t>
      </w:r>
      <w:r w:rsidRPr="00D80876">
        <w:rPr>
          <w:rStyle w:val="apple-style-span"/>
          <w:spacing w:val="-4"/>
          <w:shd w:val="clear" w:color="auto" w:fill="FFFFFF"/>
          <w:lang w:val="vi-VN"/>
        </w:rPr>
        <w:t xml:space="preserve"> trả nợ.</w:t>
      </w:r>
      <w:r w:rsidRPr="00D80876">
        <w:rPr>
          <w:rStyle w:val="apple-style-span"/>
          <w:spacing w:val="-4"/>
          <w:shd w:val="clear" w:color="auto" w:fill="FFFFFF"/>
        </w:rPr>
        <w:t xml:space="preserve"> Xây dựng và thực hiện cam kết chi của Chính phủ phù hợp với thông lệ quốc tế (GFS và IMF) phục vụ hiệu quả công tác lập, quyết định dự toán, quyết toán và kiểm toán của Quốc hội, Hội đồng nhân dân, Chính phủ và </w:t>
      </w:r>
      <w:r w:rsidR="000B2AB4" w:rsidRPr="00D80876">
        <w:rPr>
          <w:rStyle w:val="apple-style-span"/>
          <w:spacing w:val="-4"/>
          <w:shd w:val="clear" w:color="auto" w:fill="FFFFFF"/>
        </w:rPr>
        <w:t>UBND</w:t>
      </w:r>
      <w:r w:rsidRPr="00D80876">
        <w:rPr>
          <w:rStyle w:val="apple-style-span"/>
          <w:spacing w:val="-4"/>
          <w:shd w:val="clear" w:color="auto" w:fill="FFFFFF"/>
        </w:rPr>
        <w:t xml:space="preserve"> các cấp.</w:t>
      </w:r>
    </w:p>
    <w:p w:rsidR="008362F1" w:rsidRPr="00D80876" w:rsidRDefault="0008064B" w:rsidP="00224BAF">
      <w:r w:rsidRPr="00D80876">
        <w:t xml:space="preserve">Từng bước cơ cấu lại chi ngân sách, </w:t>
      </w:r>
      <w:r w:rsidRPr="00D80876">
        <w:rPr>
          <w:spacing w:val="2"/>
          <w:lang w:val="nl-NL"/>
        </w:rPr>
        <w:t xml:space="preserve">tập trung vào các nhiệm vụ của nhà nước, nhiệm vụ của từng cấp, từng ngành, </w:t>
      </w:r>
      <w:r w:rsidRPr="00D80876">
        <w:t>hỗ trợ tích cực cho mục tiêu phục hồi tăng trưởng, đảm bảo nguồn lực đầu tư cho con người, quốc phòng, an ninh và an sinh xã hội trong tình hình mới, b</w:t>
      </w:r>
      <w:r w:rsidRPr="00D80876">
        <w:rPr>
          <w:bCs/>
        </w:rPr>
        <w:t>ảo đảm tỷ lệ hợp lý giữa chi đầu tư, chi trả nợ, chi thường xuyên</w:t>
      </w:r>
      <w:r w:rsidRPr="00D80876">
        <w:t xml:space="preserve">. </w:t>
      </w:r>
      <w:proofErr w:type="gramStart"/>
      <w:r w:rsidRPr="00D80876">
        <w:t>Rà soát, giảm dần số lượng các quỹ tài chính nhà nước, nâng cao hiệu quả quản lý các nguồn lực tài chính.</w:t>
      </w:r>
      <w:proofErr w:type="gramEnd"/>
    </w:p>
    <w:p w:rsidR="008362F1" w:rsidRPr="00D80876" w:rsidRDefault="0008064B" w:rsidP="00224BAF">
      <w:r w:rsidRPr="00D80876">
        <w:rPr>
          <w:rStyle w:val="apple-style-span"/>
          <w:shd w:val="clear" w:color="auto" w:fill="FFFFFF"/>
          <w:lang w:val="vi-VN"/>
        </w:rPr>
        <w:t>Đẩy</w:t>
      </w:r>
      <w:r w:rsidRPr="00D80876">
        <w:rPr>
          <w:rStyle w:val="apple-style-span"/>
          <w:shd w:val="clear" w:color="auto" w:fill="FFFFFF"/>
          <w:lang w:val="it-IT"/>
        </w:rPr>
        <w:t xml:space="preserve"> mạnh cơ cấu lại</w:t>
      </w:r>
      <w:r w:rsidRPr="00D80876">
        <w:rPr>
          <w:rStyle w:val="apple-style-span"/>
          <w:shd w:val="clear" w:color="auto" w:fill="FFFFFF"/>
          <w:lang w:val="vi-VN"/>
        </w:rPr>
        <w:t xml:space="preserve"> chi đầu</w:t>
      </w:r>
      <w:r w:rsidRPr="00D80876">
        <w:rPr>
          <w:rStyle w:val="apple-style-span"/>
          <w:shd w:val="clear" w:color="auto" w:fill="FFFFFF"/>
          <w:lang w:val="it-IT"/>
        </w:rPr>
        <w:t xml:space="preserve"> tư công, tập trung vào các </w:t>
      </w:r>
      <w:r w:rsidR="00C70C0A" w:rsidRPr="00D80876">
        <w:rPr>
          <w:rStyle w:val="apple-style-span"/>
          <w:shd w:val="clear" w:color="auto" w:fill="FFFFFF"/>
          <w:lang w:val="it-IT"/>
        </w:rPr>
        <w:t xml:space="preserve">lĩnh vực </w:t>
      </w:r>
      <w:r w:rsidRPr="00D80876">
        <w:rPr>
          <w:rStyle w:val="apple-style-span"/>
          <w:shd w:val="clear" w:color="auto" w:fill="FFFFFF"/>
          <w:lang w:val="it-IT"/>
        </w:rPr>
        <w:t>ưu tiên, nâng cao hiệu quả, hiệu lực phân bổ, giải ngân vốn đầu tư công, cải thiện vai trò dẫn dắt, vốn mồi</w:t>
      </w:r>
      <w:r w:rsidRPr="00D80876">
        <w:rPr>
          <w:rStyle w:val="apple-style-span"/>
          <w:shd w:val="clear" w:color="auto" w:fill="FFFFFF"/>
          <w:lang w:val="vi-VN"/>
        </w:rPr>
        <w:t xml:space="preserve"> thúc đẩy mạnh mẽ các hình thức đầu tư ngoài NSNN </w:t>
      </w:r>
      <w:r w:rsidRPr="00D80876">
        <w:t>để tăng nguồn lực đầu tư toàn xã hội,</w:t>
      </w:r>
      <w:r w:rsidRPr="00D80876">
        <w:rPr>
          <w:rFonts w:eastAsia="Calibri"/>
        </w:rPr>
        <w:t xml:space="preserve"> thực hiện đột phá xây dựng hệ thống kết cấu hạ tầng và đô thị đồng bộ, hiện đại, xanh, thân thiện với môi trường.</w:t>
      </w:r>
      <w:r w:rsidRPr="00D80876">
        <w:t xml:space="preserve"> </w:t>
      </w:r>
    </w:p>
    <w:p w:rsidR="008362F1" w:rsidRPr="00D80876" w:rsidRDefault="0008064B" w:rsidP="00224BAF">
      <w:pPr>
        <w:rPr>
          <w:spacing w:val="-2"/>
          <w:lang w:val="nl-NL"/>
        </w:rPr>
      </w:pPr>
      <w:r w:rsidRPr="00D80876">
        <w:rPr>
          <w:rStyle w:val="apple-style-span"/>
          <w:shd w:val="clear" w:color="auto" w:fill="FFFFFF"/>
        </w:rPr>
        <w:t xml:space="preserve">Tiếp tục đổi mới phương thức quản lý chi thường xuyên, tăng cường đấu thầu, đặt hàng, khoán kinh phí, </w:t>
      </w:r>
      <w:r w:rsidRPr="00D80876">
        <w:t>khuyến khích quản lý ngân sách theo kết quả thực hiện nhiệm vụ, gắn với việc thực hiện quyền tự chủ, tự chịu trách nhiệm của các bộ, ngành, địa phương và các đơn vị sử dụng NSNN.</w:t>
      </w:r>
      <w:r w:rsidRPr="00D80876">
        <w:rPr>
          <w:lang w:val="vi-VN"/>
        </w:rPr>
        <w:t xml:space="preserve"> </w:t>
      </w:r>
      <w:r w:rsidR="00BE299A" w:rsidRPr="00D80876">
        <w:rPr>
          <w:spacing w:val="-2"/>
          <w:lang w:val="vi-VN"/>
        </w:rPr>
        <w:t xml:space="preserve">Rà soát nhiệm vụ chi thường xuyên </w:t>
      </w:r>
      <w:r w:rsidR="00C35055" w:rsidRPr="00D80876">
        <w:rPr>
          <w:spacing w:val="-2"/>
        </w:rPr>
        <w:t>các</w:t>
      </w:r>
      <w:r w:rsidR="00BE299A" w:rsidRPr="00D80876">
        <w:rPr>
          <w:spacing w:val="-2"/>
          <w:lang w:val="vi-VN"/>
        </w:rPr>
        <w:t xml:space="preserve"> chương trình mục tiêu giai đoạn </w:t>
      </w:r>
      <w:r w:rsidR="0026450F" w:rsidRPr="00D80876">
        <w:rPr>
          <w:spacing w:val="-2"/>
          <w:lang w:val="vi-VN"/>
        </w:rPr>
        <w:t>2016 - 2020</w:t>
      </w:r>
      <w:r w:rsidR="00BE299A" w:rsidRPr="00D80876">
        <w:rPr>
          <w:spacing w:val="-2"/>
          <w:lang w:val="vi-VN"/>
        </w:rPr>
        <w:t xml:space="preserve"> tính vào dự toán chi thường xuyên của các bộ, địa phương.</w:t>
      </w:r>
      <w:r w:rsidR="00BE299A" w:rsidRPr="00D80876">
        <w:t xml:space="preserve"> Thực hiện triệt để </w:t>
      </w:r>
      <w:r w:rsidR="00BE299A" w:rsidRPr="00D80876">
        <w:rPr>
          <w:bCs/>
          <w:spacing w:val="-2"/>
        </w:rPr>
        <w:t>tiết kiệm chi thường xuyên để tăng chi đầu tư phát triển và phấn đấu giảm bội chi ngân sách</w:t>
      </w:r>
      <w:r w:rsidR="00BE299A" w:rsidRPr="00D80876">
        <w:rPr>
          <w:spacing w:val="-2"/>
          <w:lang w:val="nl-NL"/>
        </w:rPr>
        <w:t xml:space="preserve">. </w:t>
      </w:r>
    </w:p>
    <w:p w:rsidR="008362F1" w:rsidRPr="002045EF" w:rsidRDefault="0008064B" w:rsidP="00224BAF">
      <w:pPr>
        <w:pStyle w:val="Heading2"/>
        <w:rPr>
          <w:rStyle w:val="apple-style-span"/>
        </w:rPr>
      </w:pPr>
      <w:bookmarkStart w:id="141" w:name="_Toc62654379"/>
      <w:bookmarkStart w:id="142" w:name="_Toc62657732"/>
      <w:bookmarkStart w:id="143" w:name="_Toc87619938"/>
      <w:r w:rsidRPr="002045EF">
        <w:rPr>
          <w:rStyle w:val="apple-style-span"/>
        </w:rPr>
        <w:t>4. Quản lý chặt chẽ, hiệu quả bội chi, nợ công, phù hợp với các mục tiêu phát triển kinh tế-xã hội, khả năng vay - trả nợ, từng bước cải thiện dư địa chính sách tài khóa, nâng cao khả năng chống chịu về tài chính ngân sách</w:t>
      </w:r>
      <w:bookmarkEnd w:id="141"/>
      <w:bookmarkEnd w:id="142"/>
      <w:bookmarkEnd w:id="143"/>
    </w:p>
    <w:p w:rsidR="00B87AAE" w:rsidRPr="00D80876" w:rsidRDefault="00B87AAE" w:rsidP="00224BAF">
      <w:pPr>
        <w:rPr>
          <w:rStyle w:val="apple-style-span"/>
          <w:shd w:val="clear" w:color="auto" w:fill="FFFFFF"/>
        </w:rPr>
      </w:pPr>
      <w:proofErr w:type="gramStart"/>
      <w:r w:rsidRPr="00D80876">
        <w:rPr>
          <w:rStyle w:val="apple-style-span"/>
          <w:shd w:val="clear" w:color="auto" w:fill="FFFFFF"/>
        </w:rPr>
        <w:t>Quán triệt nguyên tắc vay bù đắp bội chi NSNN, NSĐP chỉ được sử dụng cho đầu tư phát triển; chỉ chi trong khả năng của nền kinh tế và chỉ vay trong khả năng trả nợ của nền kinh tế.</w:t>
      </w:r>
      <w:proofErr w:type="gramEnd"/>
      <w:r w:rsidRPr="00D80876">
        <w:rPr>
          <w:rStyle w:val="apple-style-span"/>
          <w:shd w:val="clear" w:color="auto" w:fill="FFFFFF"/>
        </w:rPr>
        <w:t xml:space="preserve"> </w:t>
      </w:r>
    </w:p>
    <w:p w:rsidR="00B606DC" w:rsidRPr="00D80876" w:rsidRDefault="0008064B" w:rsidP="00224BAF">
      <w:pPr>
        <w:rPr>
          <w:lang w:val="da-DK"/>
        </w:rPr>
      </w:pPr>
      <w:r w:rsidRPr="00D80876">
        <w:rPr>
          <w:rStyle w:val="apple-style-span"/>
          <w:shd w:val="clear" w:color="auto" w:fill="FFFFFF"/>
        </w:rPr>
        <w:t>Hoàn thiện thể chế chính sách về quản lý nợ công và triển khai công cụ, nghiệp vụ quản lý nợ chủ động, bảo đảm an toàn và bền vững</w:t>
      </w:r>
      <w:r w:rsidR="00B606DC" w:rsidRPr="005D2403">
        <w:rPr>
          <w:rStyle w:val="apple-style-span"/>
          <w:shd w:val="clear" w:color="auto" w:fill="FFFFFF"/>
        </w:rPr>
        <w:t>; n</w:t>
      </w:r>
      <w:r w:rsidR="00B606DC" w:rsidRPr="005D2403">
        <w:rPr>
          <w:lang w:val="da-DK"/>
        </w:rPr>
        <w:t>ghiên cứu, xây dựng văn bản hướng dẫn về tổ chức bộ máy quản lý nợ chính quyền địa phương</w:t>
      </w:r>
      <w:r w:rsidRPr="005D2403">
        <w:rPr>
          <w:rStyle w:val="apple-style-span"/>
          <w:shd w:val="clear" w:color="auto" w:fill="FFFFFF"/>
        </w:rPr>
        <w:t>. Gắn kết chặt chẽ quản lý NSNN</w:t>
      </w:r>
      <w:r w:rsidR="005E6B35" w:rsidRPr="005D2403">
        <w:rPr>
          <w:rStyle w:val="apple-style-span"/>
          <w:shd w:val="clear" w:color="auto" w:fill="FFFFFF"/>
        </w:rPr>
        <w:t xml:space="preserve">, </w:t>
      </w:r>
      <w:r w:rsidR="00B10DBB">
        <w:rPr>
          <w:rStyle w:val="apple-style-span"/>
          <w:shd w:val="clear" w:color="auto" w:fill="FFFFFF"/>
        </w:rPr>
        <w:t>quản lý</w:t>
      </w:r>
      <w:r w:rsidRPr="005D2403">
        <w:rPr>
          <w:rStyle w:val="apple-style-span"/>
          <w:shd w:val="clear" w:color="auto" w:fill="FFFFFF"/>
        </w:rPr>
        <w:t xml:space="preserve"> nợ công</w:t>
      </w:r>
      <w:r w:rsidR="00B10DBB">
        <w:rPr>
          <w:rStyle w:val="apple-style-span"/>
          <w:shd w:val="clear" w:color="auto" w:fill="FFFFFF"/>
        </w:rPr>
        <w:t xml:space="preserve"> và quản lý </w:t>
      </w:r>
      <w:r w:rsidRPr="005D2403">
        <w:rPr>
          <w:rStyle w:val="apple-style-span"/>
          <w:shd w:val="clear" w:color="auto" w:fill="FFFFFF"/>
        </w:rPr>
        <w:t>ngân quỹ</w:t>
      </w:r>
      <w:r w:rsidRPr="00D80876">
        <w:rPr>
          <w:rStyle w:val="apple-style-span"/>
          <w:shd w:val="clear" w:color="auto" w:fill="FFFFFF"/>
        </w:rPr>
        <w:t xml:space="preserve"> nhằm nâng cao hiệu quả quản lý các nguồn lực tài chính của Nhà nước; thực hiện quản lý ngân quỹ nhà nước chủ động </w:t>
      </w:r>
      <w:proofErr w:type="gramStart"/>
      <w:r w:rsidRPr="00D80876">
        <w:rPr>
          <w:rStyle w:val="apple-style-span"/>
          <w:shd w:val="clear" w:color="auto" w:fill="FFFFFF"/>
        </w:rPr>
        <w:t>theo</w:t>
      </w:r>
      <w:proofErr w:type="gramEnd"/>
      <w:r w:rsidRPr="00D80876">
        <w:rPr>
          <w:rStyle w:val="apple-style-span"/>
          <w:shd w:val="clear" w:color="auto" w:fill="FFFFFF"/>
        </w:rPr>
        <w:t xml:space="preserve"> nguyên tắc thị trường, đảm bảo thanh khoản của quỹ NSNN.</w:t>
      </w:r>
      <w:r w:rsidR="00B606DC">
        <w:rPr>
          <w:rStyle w:val="apple-style-span"/>
          <w:shd w:val="clear" w:color="auto" w:fill="FFFFFF"/>
        </w:rPr>
        <w:t xml:space="preserve"> </w:t>
      </w:r>
    </w:p>
    <w:p w:rsidR="008362F1" w:rsidRPr="00D80876" w:rsidRDefault="0008064B" w:rsidP="00224BAF">
      <w:pPr>
        <w:rPr>
          <w:rStyle w:val="apple-style-span"/>
          <w:shd w:val="clear" w:color="auto" w:fill="FFFFFF"/>
        </w:rPr>
      </w:pPr>
      <w:r w:rsidRPr="00D80876">
        <w:rPr>
          <w:rStyle w:val="apple-style-span"/>
          <w:shd w:val="clear" w:color="auto" w:fill="FFFFFF"/>
        </w:rPr>
        <w:t>Tổ chức huy động vốn cho NSNN</w:t>
      </w:r>
      <w:r w:rsidR="005E6B35" w:rsidRPr="00D80876">
        <w:rPr>
          <w:rStyle w:val="apple-style-span"/>
          <w:shd w:val="clear" w:color="auto" w:fill="FFFFFF"/>
        </w:rPr>
        <w:t>, NSĐP</w:t>
      </w:r>
      <w:r w:rsidRPr="00D80876">
        <w:rPr>
          <w:rStyle w:val="apple-style-span"/>
          <w:shd w:val="clear" w:color="auto" w:fill="FFFFFF"/>
        </w:rPr>
        <w:t xml:space="preserve"> </w:t>
      </w:r>
      <w:r w:rsidR="005E6B35" w:rsidRPr="00D80876">
        <w:rPr>
          <w:rStyle w:val="apple-style-span"/>
          <w:shd w:val="clear" w:color="auto" w:fill="FFFFFF"/>
        </w:rPr>
        <w:t>để</w:t>
      </w:r>
      <w:r w:rsidRPr="00D80876">
        <w:rPr>
          <w:rStyle w:val="apple-style-span"/>
          <w:shd w:val="clear" w:color="auto" w:fill="FFFFFF"/>
        </w:rPr>
        <w:t xml:space="preserve"> ĐTPT với chi phí – rủi ro hợp lý; tiếp tục đa dạng hóa các kênh huy động vốn vay của Chính phủ, chính quyền địa phương và phát triển thị trường vốn trong nước trong bối cảnh Việt Nam đã trở </w:t>
      </w:r>
      <w:r w:rsidRPr="00D80876">
        <w:rPr>
          <w:rStyle w:val="apple-style-span"/>
          <w:shd w:val="clear" w:color="auto" w:fill="FFFFFF"/>
        </w:rPr>
        <w:lastRenderedPageBreak/>
        <w:t>thành quốc gia có thu nhập trung bình thấp.</w:t>
      </w:r>
    </w:p>
    <w:p w:rsidR="008362F1" w:rsidRPr="00D80876" w:rsidRDefault="0008064B" w:rsidP="00224BAF">
      <w:pPr>
        <w:rPr>
          <w:rStyle w:val="apple-style-span"/>
          <w:shd w:val="clear" w:color="auto" w:fill="FFFFFF"/>
        </w:rPr>
      </w:pPr>
      <w:proofErr w:type="gramStart"/>
      <w:r w:rsidRPr="00D80876">
        <w:rPr>
          <w:rStyle w:val="apple-style-span"/>
          <w:shd w:val="clear" w:color="auto" w:fill="FFFFFF"/>
        </w:rPr>
        <w:t xml:space="preserve">Đảm bảo bố trí </w:t>
      </w:r>
      <w:r w:rsidR="00F34334" w:rsidRPr="00D80876">
        <w:rPr>
          <w:rStyle w:val="apple-style-span"/>
          <w:shd w:val="clear" w:color="auto" w:fill="FFFFFF"/>
        </w:rPr>
        <w:t xml:space="preserve">kế hoạch vốn đầu tư công trung hạn và hàng năm </w:t>
      </w:r>
      <w:r w:rsidRPr="00D80876">
        <w:rPr>
          <w:rStyle w:val="apple-style-span"/>
          <w:shd w:val="clear" w:color="auto" w:fill="FFFFFF"/>
        </w:rPr>
        <w:t>đủ nguồn vốn để thanh toán trả nợ</w:t>
      </w:r>
      <w:r w:rsidR="003E3EF2" w:rsidRPr="00D80876">
        <w:rPr>
          <w:rStyle w:val="apple-style-span"/>
          <w:shd w:val="clear" w:color="auto" w:fill="FFFFFF"/>
        </w:rPr>
        <w:t xml:space="preserve"> gốc, lãi</w:t>
      </w:r>
      <w:r w:rsidRPr="00D80876">
        <w:rPr>
          <w:rStyle w:val="apple-style-span"/>
          <w:shd w:val="clear" w:color="auto" w:fill="FFFFFF"/>
        </w:rPr>
        <w:t xml:space="preserve"> đầy đủ, đúng hạn, từng bước nâng cao hệ số tín nhiệm quốc gia.</w:t>
      </w:r>
      <w:proofErr w:type="gramEnd"/>
      <w:r w:rsidRPr="00D80876">
        <w:rPr>
          <w:rStyle w:val="apple-style-span"/>
          <w:shd w:val="clear" w:color="auto" w:fill="FFFFFF"/>
        </w:rPr>
        <w:t xml:space="preserve"> </w:t>
      </w:r>
      <w:proofErr w:type="gramStart"/>
      <w:r w:rsidRPr="00D80876">
        <w:rPr>
          <w:rStyle w:val="apple-style-span"/>
          <w:shd w:val="clear" w:color="auto" w:fill="FFFFFF"/>
        </w:rPr>
        <w:t>Nâng cao hiệu quả sử dụng vốn vay, gắn với trách nhiệm thanh toán trả nợ.</w:t>
      </w:r>
      <w:proofErr w:type="gramEnd"/>
      <w:r w:rsidRPr="00D80876">
        <w:rPr>
          <w:rStyle w:val="apple-style-span"/>
          <w:shd w:val="clear" w:color="auto" w:fill="FFFFFF"/>
        </w:rPr>
        <w:t xml:space="preserve"> </w:t>
      </w:r>
    </w:p>
    <w:p w:rsidR="003862A9" w:rsidRPr="00D80876" w:rsidRDefault="0008064B" w:rsidP="00224BAF">
      <w:pPr>
        <w:rPr>
          <w:lang w:val="da-DK"/>
        </w:rPr>
      </w:pPr>
      <w:proofErr w:type="gramStart"/>
      <w:r w:rsidRPr="00D80876">
        <w:rPr>
          <w:rStyle w:val="apple-style-span"/>
          <w:shd w:val="clear" w:color="auto" w:fill="FFFFFF"/>
        </w:rPr>
        <w:t>Đa dạng hóa kỳ hạn phát hành, quản lý việc phát hành trái phiếu Chính phủ, trái phiếu Chính quyền địa phương.</w:t>
      </w:r>
      <w:proofErr w:type="gramEnd"/>
      <w:r w:rsidR="00817FC9" w:rsidRPr="00D80876">
        <w:rPr>
          <w:rStyle w:val="apple-style-span"/>
          <w:shd w:val="clear" w:color="auto" w:fill="FFFFFF"/>
        </w:rPr>
        <w:t xml:space="preserve"> </w:t>
      </w:r>
      <w:r w:rsidR="003862A9" w:rsidRPr="00D80876">
        <w:rPr>
          <w:lang w:val="da-DK"/>
        </w:rPr>
        <w:t>Tận dụng tối đa các khoản vay ODA còn lại và tranh thủ huy động hợp lý các khoản vay ưu đãi</w:t>
      </w:r>
      <w:r w:rsidR="003862A9" w:rsidRPr="00D80876">
        <w:rPr>
          <w:lang w:val="it-IT"/>
        </w:rPr>
        <w:t xml:space="preserve"> đã cam kết trong giai đoạn </w:t>
      </w:r>
      <w:r w:rsidR="0026450F" w:rsidRPr="00D80876">
        <w:rPr>
          <w:lang w:val="it-IT"/>
        </w:rPr>
        <w:t>2016 - 2020</w:t>
      </w:r>
      <w:r w:rsidR="003862A9" w:rsidRPr="00D80876">
        <w:rPr>
          <w:lang w:val="it-IT"/>
        </w:rPr>
        <w:t xml:space="preserve"> cũng như các năm sau</w:t>
      </w:r>
      <w:r w:rsidR="003862A9" w:rsidRPr="00D80876">
        <w:rPr>
          <w:lang w:val="da-DK"/>
        </w:rPr>
        <w:t xml:space="preserve">; ưu tiên </w:t>
      </w:r>
      <w:r w:rsidR="003862A9" w:rsidRPr="00D80876">
        <w:rPr>
          <w:lang w:val="it-IT"/>
        </w:rPr>
        <w:t>huy động các nguồn có thời gian vay dài, lãi suất thấp và có thành tố viện trợ không hoàn lại (GE) cao.</w:t>
      </w:r>
      <w:r w:rsidR="003862A9" w:rsidRPr="00D80876">
        <w:rPr>
          <w:lang w:val="da-DK"/>
        </w:rPr>
        <w:t xml:space="preserve"> Tập trung giải ngân vốn vay ODA, vay ưu đãi nước ngoài đối với các hiệp định đã ký vay đến cuối năm 2020 chuyển sang giai đoạn </w:t>
      </w:r>
      <w:r w:rsidR="008431DF">
        <w:rPr>
          <w:lang w:val="da-DK"/>
        </w:rPr>
        <w:t>2021 - 2025</w:t>
      </w:r>
      <w:r w:rsidR="003862A9" w:rsidRPr="00D80876">
        <w:rPr>
          <w:lang w:val="da-DK"/>
        </w:rPr>
        <w:t>.</w:t>
      </w:r>
    </w:p>
    <w:p w:rsidR="003862A9" w:rsidRDefault="008A2E7E" w:rsidP="00224BAF">
      <w:pPr>
        <w:rPr>
          <w:lang w:val="da-DK"/>
        </w:rPr>
      </w:pPr>
      <w:r w:rsidRPr="00D80876">
        <w:rPr>
          <w:lang w:val="da-DK"/>
        </w:rPr>
        <w:t xml:space="preserve">Đổi mới cơ chế huy động nguồn vốn vay ODA, vay ưu đãi nước ngoài theo hướng xây dựng một số chương trình đầu tư công, </w:t>
      </w:r>
      <w:r w:rsidR="003862A9" w:rsidRPr="00D80876">
        <w:rPr>
          <w:lang w:val="it-IT"/>
        </w:rPr>
        <w:t xml:space="preserve">tập trung cho một số lĩnh vực chủ chốt để đảm bảo phát huy được tối đa hiệu quả kinh tế theo quy mô; </w:t>
      </w:r>
      <w:r w:rsidR="003862A9" w:rsidRPr="00D80876">
        <w:rPr>
          <w:lang w:val="da-DK"/>
        </w:rPr>
        <w:t xml:space="preserve">tập trung cho các dự án trực tiếp thúc đẩy tăng trưởng gắn với phát triển bền vững, các dự án có hiệu ứng lan tỏa </w:t>
      </w:r>
      <w:r w:rsidR="003862A9" w:rsidRPr="00D80876">
        <w:rPr>
          <w:lang w:val="vi-VN"/>
        </w:rPr>
        <w:t>(</w:t>
      </w:r>
      <w:r w:rsidR="003862A9" w:rsidRPr="00D80876">
        <w:rPr>
          <w:lang w:val="da-DK"/>
        </w:rPr>
        <w:t>như thích ứng biến đổi khí hậu, nâng cao chất lượng môi trường, giáo dục, y tế, công nghệ, kỹ năng</w:t>
      </w:r>
      <w:r w:rsidR="003862A9" w:rsidRPr="00D80876">
        <w:rPr>
          <w:lang w:val="vi-VN"/>
        </w:rPr>
        <w:t>)</w:t>
      </w:r>
      <w:r w:rsidR="003862A9" w:rsidRPr="00D80876">
        <w:rPr>
          <w:lang w:val="da-DK"/>
        </w:rPr>
        <w:t>; các dự án hạ tầng kinh tế thiết yếu không có khả năng thu hồi vốn trực tiếp. Ưu tiên vay về cho vay lại đối với các dự án có khả năng thu hồi vốn trực tiếp.</w:t>
      </w:r>
    </w:p>
    <w:p w:rsidR="00285129" w:rsidRPr="002045EF" w:rsidRDefault="0008064B" w:rsidP="00224BAF">
      <w:pPr>
        <w:pStyle w:val="Heading2"/>
        <w:rPr>
          <w:rStyle w:val="apple-style-span"/>
        </w:rPr>
      </w:pPr>
      <w:bookmarkStart w:id="144" w:name="_Toc62654380"/>
      <w:bookmarkStart w:id="145" w:name="_Toc62657733"/>
      <w:bookmarkStart w:id="146" w:name="_Toc87619939"/>
      <w:r w:rsidRPr="002045EF">
        <w:rPr>
          <w:rStyle w:val="apple-style-span"/>
        </w:rPr>
        <w:t>5. Đẩy mạnh đổi mới cơ chế tài chính đối với đơn vị sự nghiệp công lập cùng với đa dạng hóa nguồn lực xã hội phát triển dịch vụ công</w:t>
      </w:r>
      <w:bookmarkEnd w:id="144"/>
      <w:bookmarkEnd w:id="145"/>
      <w:bookmarkEnd w:id="146"/>
    </w:p>
    <w:p w:rsidR="00285129" w:rsidRPr="00D80876" w:rsidRDefault="00364AE5" w:rsidP="00224BAF">
      <w:pPr>
        <w:rPr>
          <w:rStyle w:val="apple-style-span"/>
          <w:shd w:val="clear" w:color="auto" w:fill="FFFFFF"/>
        </w:rPr>
      </w:pPr>
      <w:r w:rsidRPr="00D80876">
        <w:rPr>
          <w:rStyle w:val="apple-style-span"/>
          <w:shd w:val="clear" w:color="auto" w:fill="FFFFFF"/>
        </w:rPr>
        <w:t xml:space="preserve">Hoàn thành </w:t>
      </w:r>
      <w:r w:rsidR="0008064B" w:rsidRPr="00D80876">
        <w:rPr>
          <w:rStyle w:val="apple-style-span"/>
          <w:shd w:val="clear" w:color="auto" w:fill="FFFFFF"/>
        </w:rPr>
        <w:t xml:space="preserve">quy hoạch mạng lưới các đơn vị sự nghiệp công lập để thực hiện sắp xếp, giải thể, sáp nhập, tinh giảm đầu mối, biên chế; các Bộ, cơ quan ở trung ương chỉ thực hiện chủ quản đối với các đơn vị sự nghiệp công lập trọng điểm, phục vụ nhiệm vụ quản lý nhà nước của Bộ ngành trung ương, còn lại chuyển về chính quyền địa phương quản lý; ban hành danh mục dịch vụ sự nghiệp công sử dụng NSNN, ban hành các định mức kinh tế kỹ thuật để làm cơ sở cho việc xác định giá dịch vụ sự nghiệp công. </w:t>
      </w:r>
    </w:p>
    <w:p w:rsidR="00285129" w:rsidRPr="00D80876" w:rsidRDefault="0008064B" w:rsidP="00224BAF">
      <w:pPr>
        <w:rPr>
          <w:rStyle w:val="apple-style-span"/>
          <w:shd w:val="clear" w:color="auto" w:fill="FFFFFF"/>
        </w:rPr>
      </w:pPr>
      <w:r w:rsidRPr="00D80876">
        <w:rPr>
          <w:rStyle w:val="apple-style-span"/>
          <w:shd w:val="clear" w:color="auto" w:fill="FFFFFF"/>
        </w:rPr>
        <w:t>Ban hành và thực hiện đồng bộ các cơ chế, chính sách liên quan đến việc đổi mới cơ chế tài chính các đơn vị sự nghiệp công lập; hoàn thành việc giao quyền tự chủ toàn diện cho khu vực sự nghiệp công lập trên cơ sở thực hiện tính đúng, tính đủ giá dịch vụ công theo lộ trình, đảm bảo công khai, minh bạch; chuyển một số loại phí, lệ phí sang giá dịch vụ, đồng thời thực hiện chính sách NSNN hỗ trợ trực tiếp cho các đối tượng chính sách, người nghèo, đồng bào dân tộc thiểu số. Chuyển mạnh cơ chế cấp phát theo dự toán sang cơ chế thanh toán theo đặt hàng, nhiệm vụ gắn với số lượng, chất lượng sản phẩm dịch vụ, giá cung cấp dịch vụ và nhu cầu sử dụng; có lộ trình cụ thể thực hiện cơ chế đấu thầu cung cấp dịch vụ, giảm dần phương thức giao nhiệm vụ nhằm tạo sự cạnh tranh bình đẳng trong cung cấp dịch vụ sự nghiệp công, nâng cao chất lượng và đa dạng hóa dịch vụ sự nghiệp công.</w:t>
      </w:r>
    </w:p>
    <w:p w:rsidR="00285129" w:rsidRPr="00D80876" w:rsidRDefault="0008064B" w:rsidP="00224BAF">
      <w:pPr>
        <w:rPr>
          <w:rStyle w:val="apple-style-span"/>
          <w:shd w:val="clear" w:color="auto" w:fill="FFFFFF"/>
        </w:rPr>
      </w:pPr>
      <w:r w:rsidRPr="00D80876">
        <w:rPr>
          <w:rStyle w:val="apple-style-span"/>
          <w:shd w:val="clear" w:color="auto" w:fill="FFFFFF"/>
        </w:rPr>
        <w:t xml:space="preserve">Rà soát, sửa đổi, bổ sung các cơ chế, chính sách, thúc đẩy xã hội hóa trong </w:t>
      </w:r>
      <w:r w:rsidRPr="00D80876">
        <w:rPr>
          <w:rStyle w:val="apple-style-span"/>
          <w:shd w:val="clear" w:color="auto" w:fill="FFFFFF"/>
        </w:rPr>
        <w:lastRenderedPageBreak/>
        <w:t xml:space="preserve">việc cung cấp các dịch vụ sự nghiệp công, tạo môi trường cạnh tranh lành mạnh, bình đẳng, nâng cao chất lượng dịch vụ. </w:t>
      </w:r>
      <w:proofErr w:type="gramStart"/>
      <w:r w:rsidRPr="00D80876">
        <w:rPr>
          <w:rStyle w:val="apple-style-span"/>
          <w:shd w:val="clear" w:color="auto" w:fill="FFFFFF"/>
        </w:rPr>
        <w:t>Rà soát, đánh giá và tiếp tục hoàn thiện cơ chế cho phép cổ phần hóa đối với đơn vị sự nghiệp công lập có đủ điều kiện, gắn với giải quyết tốt các vấn đề xã hội.</w:t>
      </w:r>
      <w:proofErr w:type="gramEnd"/>
      <w:r w:rsidRPr="00D80876">
        <w:rPr>
          <w:rStyle w:val="apple-style-span"/>
          <w:shd w:val="clear" w:color="auto" w:fill="FFFFFF"/>
        </w:rPr>
        <w:t xml:space="preserve"> </w:t>
      </w:r>
      <w:bookmarkStart w:id="147" w:name="_Toc62654381"/>
      <w:bookmarkStart w:id="148" w:name="_Toc62657734"/>
    </w:p>
    <w:p w:rsidR="00285129" w:rsidRPr="002045EF" w:rsidRDefault="0008064B" w:rsidP="00224BAF">
      <w:pPr>
        <w:pStyle w:val="Heading2"/>
        <w:rPr>
          <w:rStyle w:val="apple-style-span"/>
        </w:rPr>
      </w:pPr>
      <w:bookmarkStart w:id="149" w:name="_Toc87619940"/>
      <w:r w:rsidRPr="002045EF">
        <w:rPr>
          <w:rStyle w:val="apple-style-span"/>
        </w:rPr>
        <w:t>6. Đẩy mạnh việc thực hiện tái cấu trúc doanh nghiệp nhà nước; đổi mới quản lý vốn nhà nước đầu tư tại doanh nghiệp</w:t>
      </w:r>
      <w:bookmarkEnd w:id="147"/>
      <w:bookmarkEnd w:id="148"/>
      <w:bookmarkEnd w:id="149"/>
    </w:p>
    <w:p w:rsidR="00285129" w:rsidRDefault="0008064B" w:rsidP="00224BAF">
      <w:pPr>
        <w:rPr>
          <w:rStyle w:val="apple-style-span"/>
          <w:shd w:val="clear" w:color="auto" w:fill="FFFFFF"/>
        </w:rPr>
      </w:pPr>
      <w:r w:rsidRPr="00D80876">
        <w:rPr>
          <w:rStyle w:val="apple-style-span"/>
          <w:shd w:val="clear" w:color="auto" w:fill="FFFFFF"/>
        </w:rPr>
        <w:t xml:space="preserve">Tiếp tục đẩy mạnh tái cơ cấu doanh nghiệp, trọng tâm là </w:t>
      </w:r>
      <w:r w:rsidR="00850AB3" w:rsidRPr="00D80876">
        <w:rPr>
          <w:rStyle w:val="apple-style-span"/>
          <w:shd w:val="clear" w:color="auto" w:fill="FFFFFF"/>
        </w:rPr>
        <w:t>DNNN</w:t>
      </w:r>
      <w:r w:rsidRPr="00D80876">
        <w:rPr>
          <w:rStyle w:val="apple-style-span"/>
          <w:shd w:val="clear" w:color="auto" w:fill="FFFFFF"/>
        </w:rPr>
        <w:t xml:space="preserve"> theo các định hướng đề ra tại các Nghị quyết, Kết luận của Đảng và các cơ chế, chính sách pháp luật của Nhà nước; thu gọn đối tượng </w:t>
      </w:r>
      <w:r w:rsidR="00850AB3" w:rsidRPr="00D80876">
        <w:rPr>
          <w:rStyle w:val="apple-style-span"/>
          <w:shd w:val="clear" w:color="auto" w:fill="FFFFFF"/>
        </w:rPr>
        <w:t>DNNN</w:t>
      </w:r>
      <w:r w:rsidRPr="00D80876">
        <w:rPr>
          <w:rStyle w:val="apple-style-span"/>
          <w:shd w:val="clear" w:color="auto" w:fill="FFFFFF"/>
        </w:rPr>
        <w:t xml:space="preserve"> trong nền kinh tế, </w:t>
      </w:r>
      <w:r w:rsidR="00E756FC" w:rsidRPr="0004044D">
        <w:rPr>
          <w:rStyle w:val="apple-style-span"/>
          <w:shd w:val="clear" w:color="auto" w:fill="FFFFFF"/>
        </w:rPr>
        <w:t xml:space="preserve">tập trung nguồn lực đầu tư nhà nước vào các doanh nghiệp nhà nước có vị trí quan trọng </w:t>
      </w:r>
      <w:r w:rsidR="00E756FC" w:rsidRPr="00E756FC">
        <w:rPr>
          <w:rStyle w:val="apple-style-span"/>
          <w:shd w:val="clear" w:color="auto" w:fill="FFFFFF"/>
        </w:rPr>
        <w:t>và thực hiện nhiệm vụ quốc phòng – an ninh</w:t>
      </w:r>
      <w:r w:rsidR="00E756FC" w:rsidRPr="0004044D">
        <w:rPr>
          <w:rStyle w:val="apple-style-span"/>
          <w:shd w:val="clear" w:color="auto" w:fill="FFFFFF"/>
        </w:rPr>
        <w:t>, một số ngành, lĩnh vực then chốt của nền kinh tế</w:t>
      </w:r>
      <w:r w:rsidRPr="00D80876">
        <w:rPr>
          <w:rStyle w:val="apple-style-span"/>
          <w:shd w:val="clear" w:color="auto" w:fill="FFFFFF"/>
        </w:rPr>
        <w:t>.</w:t>
      </w:r>
    </w:p>
    <w:p w:rsidR="005A5D9C" w:rsidRPr="00D80876" w:rsidRDefault="008178EC" w:rsidP="00224BAF">
      <w:pPr>
        <w:rPr>
          <w:rStyle w:val="apple-style-span"/>
          <w:shd w:val="clear" w:color="auto" w:fill="FFFFFF"/>
        </w:rPr>
      </w:pPr>
      <w:r w:rsidRPr="008178EC">
        <w:rPr>
          <w:rStyle w:val="apple-style-span"/>
          <w:shd w:val="clear" w:color="auto" w:fill="FFFFFF"/>
        </w:rPr>
        <w:t xml:space="preserve">Đẩy mạnh cổ phần hóa, thoái vốn nhà nước tại doanh nghiệp nhà nước, </w:t>
      </w:r>
      <w:r w:rsidRPr="0004044D">
        <w:rPr>
          <w:rStyle w:val="apple-style-span"/>
          <w:shd w:val="clear" w:color="auto" w:fill="FFFFFF"/>
        </w:rPr>
        <w:t>trong đó doanh nghiệp nhà nước thuộc diện cổ phần hóa cần khẩn trương</w:t>
      </w:r>
      <w:r>
        <w:rPr>
          <w:rStyle w:val="apple-style-span"/>
          <w:shd w:val="clear" w:color="auto" w:fill="FFFFFF"/>
        </w:rPr>
        <w:t xml:space="preserve"> </w:t>
      </w:r>
      <w:r w:rsidR="0008064B" w:rsidRPr="00D80876">
        <w:rPr>
          <w:rStyle w:val="apple-style-span"/>
          <w:shd w:val="clear" w:color="auto" w:fill="FFFFFF"/>
        </w:rPr>
        <w:t xml:space="preserve">rà soát toàn bộ quỹ đất đang quản lý, sử dụng để lập phương án sử dụng đất theo quy định của pháp luật về đất đai trình cơ quan có thẩm quyền có ý kiến và phê duyệt trước khi tổ chức xác định giá trị doanh nghiệp cổ phần hóa theo quy định. Hoàn tất việc sắp xếp lại khối </w:t>
      </w:r>
      <w:r w:rsidR="006D12B7" w:rsidRPr="00D80876">
        <w:rPr>
          <w:rStyle w:val="apple-style-span"/>
          <w:shd w:val="clear" w:color="auto" w:fill="FFFFFF"/>
        </w:rPr>
        <w:t>DNNN</w:t>
      </w:r>
      <w:r w:rsidR="00817FC9" w:rsidRPr="00D80876">
        <w:rPr>
          <w:rStyle w:val="apple-style-span"/>
          <w:shd w:val="clear" w:color="auto" w:fill="FFFFFF"/>
        </w:rPr>
        <w:t>, t</w:t>
      </w:r>
      <w:r w:rsidR="0008064B" w:rsidRPr="00D80876">
        <w:rPr>
          <w:rStyle w:val="apple-style-span"/>
          <w:shd w:val="clear" w:color="auto" w:fill="FFFFFF"/>
        </w:rPr>
        <w:t>iền thu được từ cổ phần hóa, thoái vốn nhà nước tập trung đầu tư các công trình kết cấu hạ tầng trọng điểm quốc gia</w:t>
      </w:r>
      <w:r w:rsidR="005E6B35" w:rsidRPr="00D80876">
        <w:rPr>
          <w:rStyle w:val="apple-style-span"/>
          <w:shd w:val="clear" w:color="auto" w:fill="FFFFFF"/>
        </w:rPr>
        <w:t>, vùng, địa phương</w:t>
      </w:r>
      <w:r w:rsidR="005A5D9C">
        <w:rPr>
          <w:rStyle w:val="apple-style-span"/>
          <w:shd w:val="clear" w:color="auto" w:fill="FFFFFF"/>
        </w:rPr>
        <w:t xml:space="preserve"> </w:t>
      </w:r>
      <w:r w:rsidR="005A5D9C" w:rsidRPr="005A5D9C">
        <w:rPr>
          <w:rStyle w:val="apple-style-span"/>
          <w:shd w:val="clear" w:color="auto" w:fill="FFFFFF"/>
        </w:rPr>
        <w:t>và đầu tư vào doanh nghiệp thuộc phạm vi, lĩnh vực Nhà nước cần nắm giữ</w:t>
      </w:r>
      <w:r w:rsidR="005A5D9C">
        <w:rPr>
          <w:rStyle w:val="apple-style-span"/>
          <w:shd w:val="clear" w:color="auto" w:fill="FFFFFF"/>
        </w:rPr>
        <w:t>.</w:t>
      </w:r>
    </w:p>
    <w:p w:rsidR="00285129" w:rsidRDefault="0008064B" w:rsidP="00224BAF">
      <w:pPr>
        <w:rPr>
          <w:rStyle w:val="apple-style-span"/>
          <w:shd w:val="clear" w:color="auto" w:fill="FFFFFF"/>
        </w:rPr>
      </w:pPr>
      <w:r w:rsidRPr="00D80876">
        <w:rPr>
          <w:rStyle w:val="apple-style-span"/>
          <w:shd w:val="clear" w:color="auto" w:fill="FFFFFF"/>
        </w:rPr>
        <w:t xml:space="preserve">Thực hiện nghiêm việc đăng ký giao dịch, niêm yết trên thị trường chứng khoán </w:t>
      </w:r>
      <w:proofErr w:type="gramStart"/>
      <w:r w:rsidRPr="00D80876">
        <w:rPr>
          <w:rStyle w:val="apple-style-span"/>
          <w:shd w:val="clear" w:color="auto" w:fill="FFFFFF"/>
        </w:rPr>
        <w:t>theo</w:t>
      </w:r>
      <w:proofErr w:type="gramEnd"/>
      <w:r w:rsidRPr="00D80876">
        <w:rPr>
          <w:rStyle w:val="apple-style-span"/>
          <w:shd w:val="clear" w:color="auto" w:fill="FFFFFF"/>
        </w:rPr>
        <w:t xml:space="preserve"> quy định của pháp luật. Đối với các doanh nghiệp đã cổ phần hóa và chuyển sang hoạt động dưới hình thức công ty cổ phần, thực hiện quyết toán công tác cổ phần hóa </w:t>
      </w:r>
      <w:proofErr w:type="gramStart"/>
      <w:r w:rsidRPr="00D80876">
        <w:rPr>
          <w:rStyle w:val="apple-style-span"/>
          <w:shd w:val="clear" w:color="auto" w:fill="FFFFFF"/>
        </w:rPr>
        <w:t>theo</w:t>
      </w:r>
      <w:proofErr w:type="gramEnd"/>
      <w:r w:rsidRPr="00D80876">
        <w:rPr>
          <w:rStyle w:val="apple-style-span"/>
          <w:shd w:val="clear" w:color="auto" w:fill="FFFFFF"/>
        </w:rPr>
        <w:t xml:space="preserve"> quy định. </w:t>
      </w:r>
    </w:p>
    <w:p w:rsidR="00285129" w:rsidRPr="00D80876" w:rsidRDefault="0008064B" w:rsidP="00224BAF">
      <w:pPr>
        <w:rPr>
          <w:rStyle w:val="apple-style-span"/>
          <w:spacing w:val="-2"/>
          <w:shd w:val="clear" w:color="auto" w:fill="FFFFFF"/>
        </w:rPr>
      </w:pPr>
      <w:r w:rsidRPr="00D80876">
        <w:rPr>
          <w:rStyle w:val="apple-style-span"/>
          <w:spacing w:val="-2"/>
          <w:shd w:val="clear" w:color="auto" w:fill="FFFFFF"/>
        </w:rPr>
        <w:t xml:space="preserve">Tiếp tục hoàn thiện khung pháp lý để </w:t>
      </w:r>
      <w:r w:rsidR="00005076" w:rsidRPr="00D80876">
        <w:rPr>
          <w:rStyle w:val="apple-style-span"/>
          <w:spacing w:val="-2"/>
          <w:shd w:val="clear" w:color="auto" w:fill="FFFFFF"/>
        </w:rPr>
        <w:t>DNNN</w:t>
      </w:r>
      <w:r w:rsidRPr="00D80876">
        <w:rPr>
          <w:rStyle w:val="apple-style-span"/>
          <w:spacing w:val="-2"/>
          <w:shd w:val="clear" w:color="auto" w:fill="FFFFFF"/>
        </w:rPr>
        <w:t xml:space="preserve"> hoạt động kinh doanh trong môi trường pháp lý chung, cạnh tranh bình đẳng với doanh nghiệp thuộc các thành phần kinh tế khác, sử dụng hiệu quả các nguồn lực đã đầu tư, trong đó doanh nghiệp sản xuất, cung ứng sản phẩm, dịch vụ công ích, quốc phòng, an ninh thực hiện tốt nhiệm vụ được giao theo cơ chế thị trường thông qua đấu thầu, đặt hàng cung cấp sản phẩm, dịch vụ công ích. Tăng cường minh bạch báo cáo tài chính, thông tin tài chính, kinh doanh, điều hành của </w:t>
      </w:r>
      <w:r w:rsidR="00005076" w:rsidRPr="00D80876">
        <w:rPr>
          <w:rStyle w:val="apple-style-span"/>
          <w:spacing w:val="-2"/>
          <w:shd w:val="clear" w:color="auto" w:fill="FFFFFF"/>
        </w:rPr>
        <w:t>DNNN</w:t>
      </w:r>
      <w:r w:rsidRPr="00D80876">
        <w:rPr>
          <w:rStyle w:val="apple-style-span"/>
          <w:spacing w:val="-2"/>
          <w:shd w:val="clear" w:color="auto" w:fill="FFFFFF"/>
        </w:rPr>
        <w:t xml:space="preserve">, tăng cường trách nhiệm của Hội đồng thành viên, Ban điều hành và giám sát, kiểm tra của chủ sở hữu nhà nước đối với </w:t>
      </w:r>
      <w:r w:rsidR="00005076" w:rsidRPr="00D80876">
        <w:rPr>
          <w:rStyle w:val="apple-style-span"/>
          <w:spacing w:val="-2"/>
          <w:shd w:val="clear" w:color="auto" w:fill="FFFFFF"/>
        </w:rPr>
        <w:t>DNNN</w:t>
      </w:r>
      <w:r w:rsidRPr="00D80876">
        <w:rPr>
          <w:rStyle w:val="apple-style-span"/>
          <w:spacing w:val="-2"/>
          <w:shd w:val="clear" w:color="auto" w:fill="FFFFFF"/>
        </w:rPr>
        <w:t>.</w:t>
      </w:r>
      <w:bookmarkStart w:id="150" w:name="_Toc62654382"/>
      <w:bookmarkStart w:id="151" w:name="_Toc62657735"/>
    </w:p>
    <w:p w:rsidR="00285129" w:rsidRPr="002045EF" w:rsidRDefault="0008064B" w:rsidP="00224BAF">
      <w:pPr>
        <w:pStyle w:val="Heading2"/>
        <w:rPr>
          <w:rStyle w:val="apple-style-span"/>
        </w:rPr>
      </w:pPr>
      <w:bookmarkStart w:id="152" w:name="_Toc87619941"/>
      <w:r w:rsidRPr="002045EF">
        <w:rPr>
          <w:rStyle w:val="apple-style-span"/>
        </w:rPr>
        <w:t xml:space="preserve">7. </w:t>
      </w:r>
      <w:bookmarkStart w:id="153" w:name="_Toc62654385"/>
      <w:bookmarkStart w:id="154" w:name="_Toc62657738"/>
      <w:bookmarkEnd w:id="150"/>
      <w:bookmarkEnd w:id="151"/>
      <w:r w:rsidRPr="002045EF">
        <w:rPr>
          <w:rStyle w:val="apple-style-span"/>
        </w:rPr>
        <w:t>Tăng cường năng lực giám sát tài chính – ngân sách, đảm bảo an ninh, an toàn tài chính công</w:t>
      </w:r>
      <w:bookmarkEnd w:id="153"/>
      <w:bookmarkEnd w:id="154"/>
      <w:bookmarkEnd w:id="152"/>
    </w:p>
    <w:p w:rsidR="00285129" w:rsidRPr="00D80876" w:rsidRDefault="0008064B" w:rsidP="00224BAF">
      <w:pPr>
        <w:rPr>
          <w:rStyle w:val="apple-style-span"/>
          <w:shd w:val="clear" w:color="auto" w:fill="FFFFFF"/>
        </w:rPr>
      </w:pPr>
      <w:r w:rsidRPr="00D80876">
        <w:rPr>
          <w:rStyle w:val="apple-style-span"/>
          <w:shd w:val="clear" w:color="auto" w:fill="FFFFFF"/>
        </w:rPr>
        <w:t xml:space="preserve">Hoàn thiện thể chế, bộ máy, công cụ phân tích, dự báo, giám sát các cân đối tài chính lớn, chỉ tiêu an toàn nợ, cảnh báo mức độ rủi ro đối với danh mục nợ công, nợ chính phủ, nợ chính quyền địa phương và nợ nước ngoài của quốc gia. Phát triển hệ thống thông tin thống kê tài chính tập trung, thống nhất, tích hợp với hệ thống thống kê kinh tế quốc dân và hệ thống thống kê tiền tệ của Nhà nước, phù hợp với các nguyên tắc, chuẩn mực quốc tế về Thống kê tài chính Chính phủ, đáp ứng đầy đủ, kịp thời các yêu cầu về phân tích, đánh giá, hoạch định và điều </w:t>
      </w:r>
      <w:r w:rsidRPr="00D80876">
        <w:rPr>
          <w:rStyle w:val="apple-style-span"/>
          <w:shd w:val="clear" w:color="auto" w:fill="FFFFFF"/>
        </w:rPr>
        <w:lastRenderedPageBreak/>
        <w:t xml:space="preserve">chỉnh chính sách trong quản lý, điều hành tài chính </w:t>
      </w:r>
      <w:r w:rsidR="005E6B35" w:rsidRPr="00D80876">
        <w:rPr>
          <w:rStyle w:val="apple-style-span"/>
          <w:shd w:val="clear" w:color="auto" w:fill="FFFFFF"/>
        </w:rPr>
        <w:t>- ngân sách</w:t>
      </w:r>
      <w:r w:rsidRPr="00D80876">
        <w:rPr>
          <w:rStyle w:val="apple-style-span"/>
          <w:shd w:val="clear" w:color="auto" w:fill="FFFFFF"/>
        </w:rPr>
        <w:t xml:space="preserve">. </w:t>
      </w:r>
    </w:p>
    <w:p w:rsidR="00285129" w:rsidRPr="00D80876" w:rsidRDefault="0008064B" w:rsidP="00224BAF">
      <w:pPr>
        <w:rPr>
          <w:rStyle w:val="apple-style-span"/>
          <w:spacing w:val="-2"/>
          <w:shd w:val="clear" w:color="auto" w:fill="FFFFFF"/>
        </w:rPr>
      </w:pPr>
      <w:proofErr w:type="gramStart"/>
      <w:r w:rsidRPr="00D80876">
        <w:rPr>
          <w:rStyle w:val="apple-style-span"/>
          <w:spacing w:val="-2"/>
          <w:shd w:val="clear" w:color="auto" w:fill="FFFFFF"/>
        </w:rPr>
        <w:t>Thiết lập, vận hành khung quản lý rủi ro hiện đại trong quản lý ngân quỹ nhà nước nhằm nhận diện, đánh giá đầy đủ, kịp thời và có chính sách giảm thiểu rủi ro phù hợp.</w:t>
      </w:r>
      <w:proofErr w:type="gramEnd"/>
      <w:r w:rsidRPr="00D80876">
        <w:rPr>
          <w:rStyle w:val="apple-style-span"/>
          <w:spacing w:val="-2"/>
          <w:shd w:val="clear" w:color="auto" w:fill="FFFFFF"/>
        </w:rPr>
        <w:t xml:space="preserve"> </w:t>
      </w:r>
      <w:proofErr w:type="gramStart"/>
      <w:r w:rsidRPr="00D80876">
        <w:rPr>
          <w:rStyle w:val="apple-style-span"/>
          <w:spacing w:val="-2"/>
          <w:shd w:val="clear" w:color="auto" w:fill="FFFFFF"/>
        </w:rPr>
        <w:t>Từng bước thống nhất các chế độ kế toán nhà nước và kế toán đồ trong khu vực Nhà nước.</w:t>
      </w:r>
      <w:proofErr w:type="gramEnd"/>
      <w:r w:rsidRPr="00D80876">
        <w:rPr>
          <w:rStyle w:val="apple-style-span"/>
          <w:spacing w:val="-2"/>
          <w:shd w:val="clear" w:color="auto" w:fill="FFFFFF"/>
        </w:rPr>
        <w:t xml:space="preserve"> Tiếp tục hoàn thiện các hệ thống công nghệ thông tin để tăng cường bảo mật, dự phòng rủi ro, vận hành </w:t>
      </w:r>
      <w:proofErr w:type="gramStart"/>
      <w:r w:rsidRPr="00D80876">
        <w:rPr>
          <w:rStyle w:val="apple-style-span"/>
          <w:spacing w:val="-2"/>
          <w:shd w:val="clear" w:color="auto" w:fill="FFFFFF"/>
        </w:rPr>
        <w:t>an</w:t>
      </w:r>
      <w:proofErr w:type="gramEnd"/>
      <w:r w:rsidRPr="00D80876">
        <w:rPr>
          <w:rStyle w:val="apple-style-span"/>
          <w:spacing w:val="-2"/>
          <w:shd w:val="clear" w:color="auto" w:fill="FFFFFF"/>
        </w:rPr>
        <w:t xml:space="preserve"> toàn, ổn định trong mọi tình huống.</w:t>
      </w:r>
    </w:p>
    <w:p w:rsidR="00285129" w:rsidRPr="00D80876" w:rsidRDefault="0008064B" w:rsidP="00224BAF">
      <w:pPr>
        <w:rPr>
          <w:rStyle w:val="apple-style-span"/>
          <w:shd w:val="clear" w:color="auto" w:fill="FFFFFF"/>
        </w:rPr>
      </w:pPr>
      <w:r w:rsidRPr="00D80876">
        <w:rPr>
          <w:rStyle w:val="apple-style-span"/>
          <w:shd w:val="clear" w:color="auto" w:fill="FFFFFF"/>
        </w:rPr>
        <w:t>Hoàn thiện thể chế, bộ máy, hạ tầng, công cụ giám sát của Nhà nước đối với hoạt động của thị trường tài chính và dịch vụ tài chính, đảm bảo thị trường vận hành an toàn, lành mạnh, minh bạch, phù hợp với các thông lệ quốc tế. Tăng cường kiểm soát của Nhà nước đối với các doanh nghiệp trong lĩnh vực xổ số, đặt cược, casino và trò chơi có thưởng.</w:t>
      </w:r>
    </w:p>
    <w:p w:rsidR="00285129" w:rsidRPr="00D80876" w:rsidRDefault="0008064B" w:rsidP="00224BAF">
      <w:pPr>
        <w:rPr>
          <w:rStyle w:val="apple-style-span"/>
          <w:spacing w:val="-2"/>
          <w:shd w:val="clear" w:color="auto" w:fill="FFFFFF"/>
        </w:rPr>
      </w:pPr>
      <w:r w:rsidRPr="00D80876">
        <w:rPr>
          <w:rStyle w:val="apple-style-span"/>
          <w:spacing w:val="-2"/>
          <w:shd w:val="clear" w:color="auto" w:fill="FFFFFF"/>
        </w:rPr>
        <w:t xml:space="preserve">Tiếp tục hoàn thiện các cơ chế và hệ thống tiêu chí giám sát tài chính doanh nghiệp và thực hiện có lộ trình việc xếp hạng tín nhiệm doanh nghiệp. Củng cố bộ máy và cán bộ quản lý, giám sát tài chính doanh nghiệp. Công khai các thông tin cơ bản về doanh nghiệp </w:t>
      </w:r>
      <w:proofErr w:type="gramStart"/>
      <w:r w:rsidRPr="00D80876">
        <w:rPr>
          <w:rStyle w:val="apple-style-span"/>
          <w:spacing w:val="-2"/>
          <w:shd w:val="clear" w:color="auto" w:fill="FFFFFF"/>
        </w:rPr>
        <w:t>theo</w:t>
      </w:r>
      <w:proofErr w:type="gramEnd"/>
      <w:r w:rsidRPr="00D80876">
        <w:rPr>
          <w:rStyle w:val="apple-style-span"/>
          <w:spacing w:val="-2"/>
          <w:shd w:val="clear" w:color="auto" w:fill="FFFFFF"/>
        </w:rPr>
        <w:t xml:space="preserve"> luật định nhằm tạo điều kiện cho xã hội giám sát.</w:t>
      </w:r>
    </w:p>
    <w:p w:rsidR="00285129" w:rsidRPr="00D80876" w:rsidRDefault="00EB61B7" w:rsidP="00224BAF">
      <w:pPr>
        <w:rPr>
          <w:lang w:val="it-IT"/>
        </w:rPr>
      </w:pPr>
      <w:r w:rsidRPr="00D80876">
        <w:rPr>
          <w:lang w:val="it-IT"/>
        </w:rPr>
        <w:t>Thống nhất thực hiện quản lý nợ chính quyền địa phương; tăng cường năng lực cán bộ quản lý nợ chính quyền địa phương đáp ứng yêu cầu theo dõi, đánh giá và quản lý rủi ro; xây dựng và kết nối hệ thống thông tin nợ chính quyền địa phương đảm bảo cập nhật, phục vụ quản lý theo hạn mức dư nợ và bội chi NSĐP hằng năm, tiến tới áp dụng các công cụ phòng ngừa rủi ro.</w:t>
      </w:r>
    </w:p>
    <w:p w:rsidR="00D835BD" w:rsidRPr="00D80876" w:rsidRDefault="00EB61B7" w:rsidP="00224BAF">
      <w:r w:rsidRPr="00D80876">
        <w:rPr>
          <w:b/>
        </w:rPr>
        <w:t>Trước ngày 31 tháng 7 h</w:t>
      </w:r>
      <w:r w:rsidR="005E6B35" w:rsidRPr="00D80876">
        <w:rPr>
          <w:b/>
        </w:rPr>
        <w:t>ằng năm</w:t>
      </w:r>
      <w:r w:rsidR="005E6B35" w:rsidRPr="00D80876">
        <w:t>, c</w:t>
      </w:r>
      <w:r w:rsidR="0008064B" w:rsidRPr="00D80876">
        <w:t>ác địa phương</w:t>
      </w:r>
      <w:r w:rsidR="005E6B35" w:rsidRPr="00D80876">
        <w:t xml:space="preserve"> báo cáo đánh rủi ro tài khóa NSĐP 03 năm (</w:t>
      </w:r>
      <w:r w:rsidR="00EC2295" w:rsidRPr="00D80876">
        <w:t>Kết quả thưc hiện năm trước, đánh giá năm báo cáo và dự báo năm sau</w:t>
      </w:r>
      <w:r w:rsidR="005E6B35" w:rsidRPr="00D80876">
        <w:t>) gửi Bộ Tài chính</w:t>
      </w:r>
      <w:r w:rsidRPr="00D80876">
        <w:t xml:space="preserve"> </w:t>
      </w:r>
      <w:r w:rsidR="005E6B35" w:rsidRPr="00D80876">
        <w:t xml:space="preserve">để giám sát. Đồng thời, </w:t>
      </w:r>
      <w:r w:rsidR="00377C3B" w:rsidRPr="00D80876">
        <w:t xml:space="preserve">địa phương có trách nhiệm </w:t>
      </w:r>
      <w:r w:rsidR="005E6B35" w:rsidRPr="00D80876">
        <w:t>bổ sung nội dung đánh rủi ro tài khóa NSĐP</w:t>
      </w:r>
      <w:r w:rsidR="00377C3B" w:rsidRPr="00D80876">
        <w:t xml:space="preserve"> </w:t>
      </w:r>
      <w:r w:rsidR="005E6B35" w:rsidRPr="00D80876">
        <w:t>trong báo cáo xây dựng dự toán, quyết toán NSĐP hằng năm gửi Bộ Tài chính và các cơ quan liên quan tổng hợp trình cấp có thẩm quyền theo quy định.</w:t>
      </w:r>
      <w:r w:rsidR="000D7DA0" w:rsidRPr="00D80876">
        <w:t>/.</w:t>
      </w:r>
      <w:r w:rsidR="005E6B35" w:rsidRPr="00D80876">
        <w:t xml:space="preserve">  </w:t>
      </w:r>
    </w:p>
    <w:sectPr w:rsidR="00D835BD" w:rsidRPr="00D80876" w:rsidSect="00224BAF">
      <w:pgSz w:w="11907" w:h="16840" w:code="9"/>
      <w:pgMar w:top="1077" w:right="1021" w:bottom="1021" w:left="1588" w:header="720" w:footer="266"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322" w:rsidRDefault="00280322" w:rsidP="00AD5D37">
      <w:pPr>
        <w:pBdr>
          <w:bottom w:val="dotted" w:sz="4" w:space="0" w:color="FFFFFF"/>
        </w:pBdr>
      </w:pPr>
      <w:r>
        <w:separator/>
      </w:r>
    </w:p>
    <w:p w:rsidR="00280322" w:rsidRDefault="00280322" w:rsidP="00AD5D37">
      <w:pPr>
        <w:pBdr>
          <w:bottom w:val="dotted" w:sz="4" w:space="0" w:color="FFFFFF"/>
        </w:pBdr>
      </w:pPr>
    </w:p>
    <w:p w:rsidR="00280322" w:rsidRDefault="00280322" w:rsidP="00AD5D37">
      <w:pPr>
        <w:pBdr>
          <w:bottom w:val="dotted" w:sz="4" w:space="0" w:color="FFFFFF"/>
        </w:pBdr>
      </w:pPr>
    </w:p>
  </w:endnote>
  <w:endnote w:type="continuationSeparator" w:id="1">
    <w:p w:rsidR="00280322" w:rsidRDefault="00280322" w:rsidP="00AD5D37">
      <w:pPr>
        <w:pBdr>
          <w:bottom w:val="dotted" w:sz="4" w:space="0" w:color="FFFFFF"/>
        </w:pBdr>
      </w:pPr>
      <w:r>
        <w:continuationSeparator/>
      </w:r>
    </w:p>
    <w:p w:rsidR="00280322" w:rsidRDefault="00280322" w:rsidP="00AD5D37">
      <w:pPr>
        <w:pBdr>
          <w:bottom w:val="dotted" w:sz="4" w:space="0" w:color="FFFFFF"/>
        </w:pBdr>
      </w:pPr>
    </w:p>
    <w:p w:rsidR="00280322" w:rsidRDefault="00280322" w:rsidP="00AD5D37">
      <w:pPr>
        <w:pBdr>
          <w:bottom w:val="dotted" w:sz="4" w:space="0" w:color="FFFFFF"/>
        </w:pBd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w:charset w:val="00"/>
    <w:family w:val="swiss"/>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22" w:rsidRPr="00B87D7E" w:rsidRDefault="00280322" w:rsidP="00AD5D37">
    <w:pPr>
      <w:pStyle w:val="Footer"/>
      <w:pBdr>
        <w:bottom w:val="dotted" w:sz="4" w:space="0" w:color="FFFFFF"/>
      </w:pBdr>
    </w:pPr>
  </w:p>
  <w:p w:rsidR="00280322" w:rsidRPr="003F455A" w:rsidRDefault="00280322" w:rsidP="00AD5D37">
    <w:pPr>
      <w:pStyle w:val="Footer"/>
      <w:pBdr>
        <w:bottom w:val="dotted" w:sz="4" w:space="0" w:color="FFFFFF"/>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22" w:rsidRPr="00B87D7E" w:rsidRDefault="00280322" w:rsidP="00AD5D37">
    <w:pPr>
      <w:pStyle w:val="Footer"/>
      <w:pBdr>
        <w:bottom w:val="dotted" w:sz="4" w:space="0" w:color="FFFFFF"/>
      </w:pBdr>
    </w:pPr>
  </w:p>
  <w:p w:rsidR="00280322" w:rsidRPr="003F455A" w:rsidRDefault="00280322" w:rsidP="00AD5D37">
    <w:pPr>
      <w:pStyle w:val="Footer"/>
      <w:pBdr>
        <w:bottom w:val="dotted" w:sz="4" w:space="0" w:color="FFFFFF"/>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22" w:rsidRPr="00794545" w:rsidRDefault="00280322" w:rsidP="00AD5D37">
    <w:pPr>
      <w:pStyle w:val="Footer"/>
      <w:pBdr>
        <w:bottom w:val="dotted" w:sz="4" w:space="0" w:color="FFFFFF"/>
      </w:pBdr>
      <w:rPr>
        <w:noProof/>
      </w:rPr>
    </w:pPr>
  </w:p>
  <w:p w:rsidR="00280322" w:rsidRDefault="00280322" w:rsidP="00AD5D37">
    <w:pPr>
      <w:pStyle w:val="Footer"/>
      <w:pBdr>
        <w:bottom w:val="dotted" w:sz="4" w:space="0" w:color="FFFFFF"/>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322" w:rsidRDefault="00280322" w:rsidP="00AD5D37">
      <w:pPr>
        <w:pBdr>
          <w:bottom w:val="dotted" w:sz="4" w:space="0" w:color="FFFFFF"/>
        </w:pBdr>
        <w:spacing w:after="0"/>
        <w:ind w:firstLine="0"/>
      </w:pPr>
      <w:r>
        <w:separator/>
      </w:r>
    </w:p>
  </w:footnote>
  <w:footnote w:type="continuationSeparator" w:id="1">
    <w:p w:rsidR="00280322" w:rsidRPr="00105584" w:rsidRDefault="00280322" w:rsidP="00AD5D37">
      <w:pPr>
        <w:pBdr>
          <w:bottom w:val="dotted" w:sz="4" w:space="0" w:color="FFFFFF"/>
        </w:pBdr>
        <w:spacing w:after="0"/>
        <w:ind w:firstLine="0"/>
        <w:contextualSpacing/>
        <w:rPr>
          <w:sz w:val="20"/>
        </w:rPr>
      </w:pPr>
      <w:r w:rsidRPr="00105584">
        <w:rPr>
          <w:sz w:val="20"/>
        </w:rPr>
        <w:continuationSeparator/>
      </w:r>
    </w:p>
  </w:footnote>
  <w:footnote w:type="continuationNotice" w:id="2">
    <w:p w:rsidR="00280322" w:rsidRPr="00235D79" w:rsidRDefault="00280322" w:rsidP="00AD5D37">
      <w:pPr>
        <w:pStyle w:val="FootnoteText"/>
        <w:pBdr>
          <w:bottom w:val="dotted" w:sz="4" w:space="0" w:color="FFFFFF"/>
        </w:pBdr>
      </w:pPr>
    </w:p>
  </w:footnote>
  <w:footnote w:id="3">
    <w:p w:rsidR="00280322" w:rsidRPr="009A6DB0" w:rsidRDefault="00280322" w:rsidP="00D15FF8">
      <w:pPr>
        <w:pStyle w:val="FootnoteText"/>
      </w:pPr>
      <w:r w:rsidRPr="009A6DB0">
        <w:rPr>
          <w:rStyle w:val="FootnoteReference"/>
          <w:b/>
        </w:rPr>
        <w:footnoteRef/>
      </w:r>
      <w:r w:rsidRPr="009A6DB0">
        <w:t xml:space="preserve"> Năm 2020 là 2,75%; 2019 là 3,75%; 2018 là 5,23%; 2017 là 6,7%; 2016 là 8,23%; 2015 là 9,88%; 1993 là 58,1%.</w:t>
      </w:r>
    </w:p>
  </w:footnote>
  <w:footnote w:id="4">
    <w:p w:rsidR="00280322" w:rsidRPr="009A6DB0" w:rsidRDefault="00280322" w:rsidP="00D15FF8">
      <w:pPr>
        <w:pStyle w:val="FootnoteText"/>
      </w:pPr>
      <w:r w:rsidRPr="009A6DB0">
        <w:rPr>
          <w:rStyle w:val="FootnoteReference"/>
          <w:b/>
        </w:rPr>
        <w:footnoteRef/>
      </w:r>
      <w:r w:rsidRPr="009A6DB0">
        <w:t xml:space="preserve"> </w:t>
      </w:r>
      <w:r w:rsidRPr="009A6DB0">
        <w:rPr>
          <w:lang w:val="nl-NL"/>
        </w:rPr>
        <w:t>GDP toàn cầu năm 2016 tăng 3,2%, năm 2017 là 3,8%, năm 2018 là 3,9%, năm 2019 là 2,8%, năm 2020 (- 4,2%)</w:t>
      </w:r>
      <w:r w:rsidRPr="009A6DB0">
        <w:rPr>
          <w:lang w:val="sq-AL"/>
        </w:rPr>
        <w:t>.</w:t>
      </w:r>
    </w:p>
  </w:footnote>
  <w:footnote w:id="5">
    <w:p w:rsidR="00280322" w:rsidRPr="009A6DB0" w:rsidRDefault="00280322" w:rsidP="00D15FF8">
      <w:pPr>
        <w:pStyle w:val="FootnoteText"/>
      </w:pPr>
      <w:r w:rsidRPr="009A6DB0">
        <w:rPr>
          <w:rStyle w:val="FootnoteReference"/>
          <w:b/>
        </w:rPr>
        <w:footnoteRef/>
      </w:r>
      <w:r w:rsidRPr="009A6DB0">
        <w:rPr>
          <w:b/>
        </w:rPr>
        <w:t xml:space="preserve"> </w:t>
      </w:r>
      <w:r w:rsidRPr="009A6DB0">
        <w:t>Trong đó 07 địa phương có tăng trưởng GRDP âm: Sơn La năm 2018 là (-1%), Hà Tĩnh năm 2016 là (-14,6%), Đà Nẵng năm 2020 là (-7,99%), Quảng Nam năm 2020 là (-5,49%), Khánh Hòa năm 2020 là (-8,68%), Bà Rịa - Vũng Tàu năm 2016 là (-3,2%), năm 2017 là (-3,8%), năm 2018 là (-0,3%), năm 2020 là (-6,95%), Cần Thơ năm 2020 là (-6,95%).</w:t>
      </w:r>
    </w:p>
  </w:footnote>
  <w:footnote w:id="6">
    <w:p w:rsidR="00280322" w:rsidRPr="009A6DB0" w:rsidRDefault="00280322" w:rsidP="00D15FF8">
      <w:pPr>
        <w:pStyle w:val="FootnoteText"/>
      </w:pPr>
      <w:r w:rsidRPr="009A6DB0">
        <w:rPr>
          <w:rStyle w:val="FootnoteReference"/>
          <w:b/>
        </w:rPr>
        <w:footnoteRef/>
      </w:r>
      <w:r w:rsidRPr="009A6DB0">
        <w:t xml:space="preserve"> Vùng KTTĐ Bắc bộ 8,2%; Vùng KTTĐ miền Trung 4,95%; Vùng KTTĐ phía Nam 5,54%; Vùng KTTĐ đồng bằng sông Cửu Long 4,77%.</w:t>
      </w:r>
    </w:p>
  </w:footnote>
  <w:footnote w:id="7">
    <w:p w:rsidR="00280322" w:rsidRPr="009A6DB0" w:rsidRDefault="00280322" w:rsidP="00D15FF8">
      <w:pPr>
        <w:pStyle w:val="FootnoteText"/>
      </w:pPr>
      <w:r w:rsidRPr="009A6DB0">
        <w:rPr>
          <w:rStyle w:val="FootnoteReference"/>
          <w:b/>
        </w:rPr>
        <w:footnoteRef/>
      </w:r>
      <w:r w:rsidRPr="009A6DB0">
        <w:t xml:space="preserve"> Tỷ trọng khu vực công nghiệp và dịch vụ (bao gồm xây dựng) theo giá cơ bản trong GDP tăng từ mức </w:t>
      </w:r>
      <w:r w:rsidRPr="009A6DB0">
        <w:rPr>
          <w:b/>
        </w:rPr>
        <w:t>77,12%</w:t>
      </w:r>
      <w:r w:rsidRPr="009A6DB0">
        <w:t xml:space="preserve"> năm 2016 lên khoảng </w:t>
      </w:r>
      <w:r w:rsidRPr="009A6DB0">
        <w:rPr>
          <w:b/>
        </w:rPr>
        <w:t>78,61%</w:t>
      </w:r>
      <w:r w:rsidRPr="009A6DB0">
        <w:t xml:space="preserve"> năm 2020.</w:t>
      </w:r>
    </w:p>
  </w:footnote>
  <w:footnote w:id="8">
    <w:p w:rsidR="00280322" w:rsidRPr="009A6DB0" w:rsidRDefault="00280322" w:rsidP="00D15FF8">
      <w:pPr>
        <w:pStyle w:val="FootnoteText"/>
      </w:pPr>
      <w:r w:rsidRPr="009A6DB0">
        <w:rPr>
          <w:rStyle w:val="FootnoteReference"/>
          <w:b/>
        </w:rPr>
        <w:footnoteRef/>
      </w:r>
      <w:r w:rsidRPr="009A6DB0">
        <w:t xml:space="preserve"> Luật Ngân sách nhà nước (2015), Luật thuế (2008, 2012, 2013, 2014, 2016, 2020), Luật quản lý thuế (2006, 2012, 2016, 2019), Luật Đầu tư công (2014, 2019), Luật Đấu thầu (2013), Luật Quản lý nợ công (2009, 2017), Luật Quản lý, sử dụng tài sản công  (2008, 2017), Luật Kế toán (2015), Luật Kiểm toán (2015), </w:t>
      </w:r>
      <w:r w:rsidRPr="000D7A40">
        <w:t>Luật Quản lý, sử dụng vốn nhà nước đầu tư vào sản xuất, kinh doanh tại doanh nghiệp (2014), Luật Doanh nghiệp (2014), Luật Đất đai (2013), Luật Đầu tư theo phương thức đối tác công tư (2020), Luật Phòng chống thiên tai và đê điều (2013, 2020).</w:t>
      </w:r>
    </w:p>
  </w:footnote>
  <w:footnote w:id="9">
    <w:p w:rsidR="00280322" w:rsidRPr="009A6DB0" w:rsidRDefault="00280322" w:rsidP="00D15FF8">
      <w:pPr>
        <w:pStyle w:val="FootnoteText"/>
        <w:rPr>
          <w:lang w:val="pt-BR"/>
        </w:rPr>
      </w:pPr>
      <w:r w:rsidRPr="009A6DB0">
        <w:rPr>
          <w:rStyle w:val="FootnoteReference"/>
          <w:b/>
        </w:rPr>
        <w:footnoteRef/>
      </w:r>
      <w:r w:rsidRPr="009A6DB0">
        <w:rPr>
          <w:lang w:val="pt-BR"/>
        </w:rPr>
        <w:t xml:space="preserve"> </w:t>
      </w:r>
      <w:r w:rsidRPr="009A6DB0">
        <w:rPr>
          <w:lang w:val="it-IT"/>
        </w:rPr>
        <w:t>Điều chỉnh các mức thuế suất thuế TTĐB đối với các dòng xe ô tô từ 9 chỗ trở xuống theo mục tiêu, định hướng phát triển công nghiệp ô tô trong nước; miễn thuế đối với hộ gia đình, cá nhân có số thuế sử dụng đất phi nông nghiệp phải nộp hàng năm từ 50.000 đồng trở xuống; giảm tỷ lệ tính tiền chậm nộp xuống mức 0,03%/ngày tính trên số tiền thuế chậm nộp (thay cho mức 0,05%/ngày như trước).</w:t>
      </w:r>
    </w:p>
  </w:footnote>
  <w:footnote w:id="10">
    <w:p w:rsidR="00280322" w:rsidRPr="009A6DB0" w:rsidRDefault="00280322" w:rsidP="00D15FF8">
      <w:pPr>
        <w:pStyle w:val="FootnoteText"/>
        <w:rPr>
          <w:lang w:val="vi-VN"/>
        </w:rPr>
      </w:pPr>
      <w:r w:rsidRPr="009A6DB0">
        <w:rPr>
          <w:rStyle w:val="FootnoteReference"/>
          <w:b/>
        </w:rPr>
        <w:footnoteRef/>
      </w:r>
      <w:r w:rsidRPr="009A6DB0">
        <w:rPr>
          <w:lang w:val="pt-BR"/>
        </w:rPr>
        <w:t xml:space="preserve"> </w:t>
      </w:r>
      <w:r w:rsidRPr="009A6DB0">
        <w:rPr>
          <w:lang w:val="it-IT"/>
        </w:rPr>
        <w:t>Mở rộng đối tượng được miễn thuế sử dụng đất nông nghiệp đến hết năm 2020.</w:t>
      </w:r>
    </w:p>
  </w:footnote>
  <w:footnote w:id="11">
    <w:p w:rsidR="00280322" w:rsidRPr="009A6DB0" w:rsidRDefault="00280322" w:rsidP="00D15FF8">
      <w:pPr>
        <w:pStyle w:val="FootnoteText"/>
        <w:rPr>
          <w:lang w:val="vi-VN"/>
        </w:rPr>
      </w:pPr>
      <w:r w:rsidRPr="009A6DB0">
        <w:rPr>
          <w:rStyle w:val="FootnoteReference"/>
          <w:b/>
        </w:rPr>
        <w:footnoteRef/>
      </w:r>
      <w:r w:rsidRPr="009A6DB0">
        <w:rPr>
          <w:lang w:val="vi-VN"/>
        </w:rPr>
        <w:t xml:space="preserve"> Đã thực hiện bãi bỏ, đưa ra khỏi Danh mục phí, lệ phí trước đó với 70 khoản phí (bãi bỏ 26 khoản phí và chuyển 44 khoản phí sang thực hiện theo cơ chế giá) và 68 khoản lệ phí.</w:t>
      </w:r>
    </w:p>
  </w:footnote>
  <w:footnote w:id="12">
    <w:p w:rsidR="00280322" w:rsidRPr="009A6DB0" w:rsidRDefault="00280322" w:rsidP="00D15FF8">
      <w:pPr>
        <w:pStyle w:val="FootnoteText"/>
      </w:pPr>
      <w:r w:rsidRPr="009A6DB0">
        <w:rPr>
          <w:rStyle w:val="FootnoteReference"/>
          <w:b/>
        </w:rPr>
        <w:footnoteRef/>
      </w:r>
      <w:r w:rsidRPr="009A6DB0">
        <w:rPr>
          <w:lang w:val="vi-VN"/>
        </w:rPr>
        <w:t xml:space="preserve"> Nghị quyết số 979/2020/UBTVQH14 ngày 27/7/2020 sửa đổi, bổ sung tiểu mục 2 mục I Biểu thuế bảo vệ môi trường quy định tại khoản 1 Điều 1 Nghị quyết số 579/2018/UBTVQH14 ngày 26</w:t>
      </w:r>
      <w:r w:rsidRPr="009A6DB0">
        <w:t>/</w:t>
      </w:r>
      <w:r w:rsidRPr="009A6DB0">
        <w:rPr>
          <w:lang w:val="vi-VN"/>
        </w:rPr>
        <w:t>9</w:t>
      </w:r>
      <w:r w:rsidRPr="009A6DB0">
        <w:t>/</w:t>
      </w:r>
      <w:r w:rsidRPr="009A6DB0">
        <w:rPr>
          <w:lang w:val="vi-VN"/>
        </w:rPr>
        <w:t xml:space="preserve">2018 của Ủy ban Thường vụ Quốc hội; Nghị định </w:t>
      </w:r>
      <w:r w:rsidRPr="009A6DB0">
        <w:rPr>
          <w:lang w:val="nl-NL"/>
        </w:rPr>
        <w:t xml:space="preserve">số 41/2020/NĐ-CP ngày 08/4/2020 về gia hạn thời hạn nộp thuế và tiền thuê đất, Nghị định số 57/2020/NĐ-CP ngày 25/5/2020 của Chính phủ về </w:t>
      </w:r>
      <w:r w:rsidRPr="009A6DB0">
        <w:rPr>
          <w:lang w:val="vi-VN"/>
        </w:rPr>
        <w:t>sửa đổi, bổ sung một số điều của Nghị định số 122/2016/NĐ-CP ngày 01</w:t>
      </w:r>
      <w:r w:rsidRPr="009A6DB0">
        <w:t>/</w:t>
      </w:r>
      <w:r w:rsidRPr="009A6DB0">
        <w:rPr>
          <w:lang w:val="vi-VN"/>
        </w:rPr>
        <w:t>9</w:t>
      </w:r>
      <w:r w:rsidRPr="009A6DB0">
        <w:t>/</w:t>
      </w:r>
      <w:r w:rsidRPr="009A6DB0">
        <w:rPr>
          <w:lang w:val="vi-VN"/>
        </w:rPr>
        <w:t>2016 của Chính phủ về Biểu thuế xuất khẩu, Biểu thuế nhập khẩu ưu đãi, Danh mục hàng hóa và mức thuế tuyệt đối, thuế hỗn hợp, thuế nhập khẩu ngoài hạn ngạch thuế quan và Nghị định số 125/2017/NĐ-CP ngày 16</w:t>
      </w:r>
      <w:r w:rsidRPr="009A6DB0">
        <w:t>/</w:t>
      </w:r>
      <w:r w:rsidRPr="009A6DB0">
        <w:rPr>
          <w:lang w:val="vi-VN"/>
        </w:rPr>
        <w:t>11</w:t>
      </w:r>
      <w:r w:rsidRPr="009A6DB0">
        <w:t>/</w:t>
      </w:r>
      <w:r w:rsidRPr="009A6DB0">
        <w:rPr>
          <w:lang w:val="vi-VN"/>
        </w:rPr>
        <w:t xml:space="preserve">2017 sửa đổi, bổ sung một số điều của Nghị định số 122/2016/NĐ-CP; </w:t>
      </w:r>
      <w:r w:rsidRPr="009A6DB0">
        <w:rPr>
          <w:lang w:val="nl-NL"/>
        </w:rPr>
        <w:t xml:space="preserve">Nghị định số 70/2020/NĐ-CP ngày 28/6/2020 về </w:t>
      </w:r>
      <w:r w:rsidRPr="009A6DB0">
        <w:rPr>
          <w:lang w:val="vi-VN"/>
        </w:rPr>
        <w:t>quy định mức thu lệ phí trước bạ đối với ô tô sản xuất, lắp ráp trong nước đến hết ngày 31</w:t>
      </w:r>
      <w:r w:rsidRPr="009A6DB0">
        <w:t>/</w:t>
      </w:r>
      <w:r w:rsidRPr="009A6DB0">
        <w:rPr>
          <w:lang w:val="vi-VN"/>
        </w:rPr>
        <w:t>12</w:t>
      </w:r>
      <w:r w:rsidRPr="009A6DB0">
        <w:t>/</w:t>
      </w:r>
      <w:r w:rsidRPr="009A6DB0">
        <w:rPr>
          <w:lang w:val="vi-VN"/>
        </w:rPr>
        <w:t>2020</w:t>
      </w:r>
      <w:r w:rsidRPr="009A6DB0">
        <w:t xml:space="preserve">. </w:t>
      </w:r>
      <w:proofErr w:type="gramStart"/>
      <w:r w:rsidRPr="009A6DB0">
        <w:rPr>
          <w:color w:val="000000"/>
          <w:lang w:val="en-AU"/>
        </w:rPr>
        <w:t>Nghị định số 41/2020/NĐ-CP ngày 8/4/2020 của Chính phủ gia hạn tiền thuế và tiền thuê đất; Nghị định số 109/2020/NĐ-CP ngày 15/9/2020 của Chính phủ gia hạn thuế TTĐB đối với ô tô sản xuất, lắp ráp trong nước.</w:t>
      </w:r>
      <w:proofErr w:type="gramEnd"/>
    </w:p>
  </w:footnote>
  <w:footnote w:id="13">
    <w:p w:rsidR="00280322" w:rsidRPr="009A6DB0" w:rsidRDefault="00280322" w:rsidP="00D15FF8">
      <w:pPr>
        <w:pStyle w:val="FootnoteText"/>
        <w:rPr>
          <w:lang w:val="nl-NL"/>
        </w:rPr>
      </w:pPr>
      <w:r w:rsidRPr="009A6DB0">
        <w:rPr>
          <w:rStyle w:val="FootnoteReference"/>
          <w:b/>
        </w:rPr>
        <w:footnoteRef/>
      </w:r>
      <w:r w:rsidRPr="009A6DB0">
        <w:rPr>
          <w:b/>
        </w:rPr>
        <w:t xml:space="preserve"> </w:t>
      </w:r>
      <w:r w:rsidRPr="009A6DB0">
        <w:t xml:space="preserve">HĐND </w:t>
      </w:r>
      <w:r w:rsidRPr="009A6DB0">
        <w:rPr>
          <w:lang w:val="nl-NL"/>
        </w:rPr>
        <w:t>TP. Hà Nội quyết định: (i) Phí chưa được quy định trong Danh mục phí, lệ phí ban hành kèm theo Luật Phí và lệ phí; (ii) Điều chỉnh mức hoặc tỷ lệ thu phí đã được cấp có thẩm quyền quyết định đối với các loại phí được quy định trong Danh mục phí, lệ phí ban hành kèm theo Luật Phí và lệ phí, trừ các loại phí thuộc nguồn thu của ngân sách sách trung ương hưởng 100%.</w:t>
      </w:r>
    </w:p>
    <w:p w:rsidR="00280322" w:rsidRPr="009A6DB0" w:rsidRDefault="00280322" w:rsidP="00D15FF8">
      <w:pPr>
        <w:pStyle w:val="FootnoteText"/>
      </w:pPr>
      <w:r w:rsidRPr="009A6DB0">
        <w:rPr>
          <w:lang w:val="nl-NL"/>
        </w:rPr>
        <w:t xml:space="preserve">HĐND TP. HCM báo cáo Chính phủ trình Ủy ban thường vụ Quốc hội quyết định áp dụng trên địa bàn Thành phố và báo cáo Quốc hội tại kỳ họp gần nhất: </w:t>
      </w:r>
      <w:r w:rsidRPr="008755EF">
        <w:rPr>
          <w:lang w:val="nl-NL"/>
        </w:rPr>
        <w:t>a) Thí điểm xây dựng và thực hiện chính sách thuế tài sản</w:t>
      </w:r>
      <w:r w:rsidRPr="009A6DB0">
        <w:rPr>
          <w:lang w:val="nl-NL"/>
        </w:rPr>
        <w:t xml:space="preserve">; b) Thí điểm tăng mức thuế hoặc thuế suất so với quy định của các sắc thuế hiện hành, trừ các chính sách thuế thu từ hoạt động xuất khẩu, nhập khẩu; c) Phí, lệ phí chưa có trong danh mục kèm theo Luật phí và lệ phí; d) Tăng mức hoặc tỷ lệ thu phí, lệ phí đã được cấp có thẩm quyền quyết định đối với các loại phí, lệ phí nằm trong danh mục kèm theo Luật phí và lệ phí.  </w:t>
      </w:r>
    </w:p>
  </w:footnote>
  <w:footnote w:id="14">
    <w:p w:rsidR="00280322" w:rsidRPr="009A6DB0" w:rsidRDefault="00280322" w:rsidP="00D15FF8">
      <w:pPr>
        <w:pStyle w:val="FootnoteText"/>
      </w:pPr>
      <w:r w:rsidRPr="000D7A40">
        <w:rPr>
          <w:rStyle w:val="FootnoteReference"/>
          <w:b/>
        </w:rPr>
        <w:footnoteRef/>
      </w:r>
      <w:r w:rsidRPr="000D7A40">
        <w:t xml:space="preserve"> Gồm: TP. Hà Nội (Nghị định số 63/2017/NĐ-CP ngày 19/05/2017 của Chính phủ; Nghị quyết số 115/2020/QH14  ngày 19/6/2020 của Quốc hội</w:t>
      </w:r>
      <w:r w:rsidRPr="000D7A40">
        <w:rPr>
          <w:rFonts w:eastAsia="Calibri"/>
          <w:szCs w:val="28"/>
        </w:rPr>
        <w:t>);</w:t>
      </w:r>
      <w:r w:rsidRPr="000D7A40">
        <w:rPr>
          <w:szCs w:val="28"/>
        </w:rPr>
        <w:t xml:space="preserve"> </w:t>
      </w:r>
      <w:r w:rsidRPr="000D7A40">
        <w:rPr>
          <w:rFonts w:eastAsia="Calibri"/>
          <w:szCs w:val="28"/>
        </w:rPr>
        <w:t>TP. HCM</w:t>
      </w:r>
      <w:r w:rsidRPr="000D7A40">
        <w:t xml:space="preserve"> (Nghị quyết số 54/2017/QH14  ngày 24/11/2017 của Quốc hội)</w:t>
      </w:r>
      <w:r w:rsidRPr="000D7A40">
        <w:rPr>
          <w:rFonts w:eastAsia="Calibri"/>
          <w:szCs w:val="28"/>
        </w:rPr>
        <w:t xml:space="preserve">; TP. Đà Nẵng (Nghị định số 144/2016/NĐ-CP ngày 01/11/2016 của Chính phủ; </w:t>
      </w:r>
      <w:r w:rsidRPr="000D7A40">
        <w:t>Nghị quyết số 116/2020/QH14 ngày 19/06/2020 của Quốc hội)</w:t>
      </w:r>
      <w:r w:rsidRPr="000D7A40">
        <w:rPr>
          <w:rFonts w:eastAsia="Calibri"/>
          <w:szCs w:val="28"/>
        </w:rPr>
        <w:t>;</w:t>
      </w:r>
      <w:r w:rsidRPr="000D7A40">
        <w:rPr>
          <w:szCs w:val="28"/>
        </w:rPr>
        <w:t xml:space="preserve"> </w:t>
      </w:r>
      <w:r w:rsidRPr="000D7A40">
        <w:rPr>
          <w:rFonts w:eastAsia="Calibri"/>
          <w:szCs w:val="28"/>
        </w:rPr>
        <w:t>TP. Hải Phòng</w:t>
      </w:r>
      <w:r w:rsidRPr="000D7A40">
        <w:t xml:space="preserve"> (Nghị định số 89/2017/NĐ-CP  ngày 29/7/2017 của Chính phủ)</w:t>
      </w:r>
      <w:r w:rsidRPr="000D7A40">
        <w:rPr>
          <w:rFonts w:eastAsia="Calibri"/>
          <w:szCs w:val="28"/>
        </w:rPr>
        <w:t>; TP.Cần Thơ</w:t>
      </w:r>
      <w:r w:rsidRPr="000D7A40">
        <w:t xml:space="preserve"> (Nghị định số 103/2018/NĐ-CP ngày 07/8/2018 của Chính phủ)</w:t>
      </w:r>
      <w:r w:rsidRPr="000D7A40">
        <w:rPr>
          <w:rFonts w:eastAsia="Calibri"/>
          <w:szCs w:val="28"/>
        </w:rPr>
        <w:t>.</w:t>
      </w:r>
    </w:p>
  </w:footnote>
  <w:footnote w:id="15">
    <w:p w:rsidR="00280322" w:rsidRPr="00D15FF8" w:rsidRDefault="00280322" w:rsidP="00D15FF8">
      <w:pPr>
        <w:pStyle w:val="FootnoteText"/>
      </w:pPr>
      <w:r w:rsidRPr="00D15FF8">
        <w:rPr>
          <w:rStyle w:val="FootnoteReference"/>
          <w:b/>
        </w:rPr>
        <w:footnoteRef/>
      </w:r>
      <w:r w:rsidRPr="00D15FF8">
        <w:rPr>
          <w:b/>
        </w:rPr>
        <w:t xml:space="preserve"> </w:t>
      </w:r>
      <w:r w:rsidRPr="00D15FF8">
        <w:t xml:space="preserve">Tổng số vốn đầu tư phát triển toàn xã hội giai đoạn 2016 - 2020 là 9.228 nghìn tỷ đồng, gồm:  Năm 2016 là 1.488 nghìn tỷ đồng, năm 2017 là 1.670 nghìn tỷ đồng, năm 2018 là 1.857 nghìn tỷ đồng, năm 2019 là 2.049 nghìn tỷ đồng, năm 2020 là 2.164 nghìn tỷ đồng. Trong đó: Khu vực Nhà nước là 3.138 nghìn tỷ đồng. </w:t>
      </w:r>
      <w:proofErr w:type="gramStart"/>
      <w:r w:rsidRPr="00D15FF8">
        <w:t>Khu vự</w:t>
      </w:r>
      <w:r>
        <w:t xml:space="preserve">c </w:t>
      </w:r>
      <w:r w:rsidRPr="00D15FF8">
        <w:t>có vốn đầu tư trực tiếp nước ngoài là 2.115 nghìn tỷ đồng; vốn cư dân và tư nhân là 3.975 nghìn tỷ đồng.</w:t>
      </w:r>
      <w:proofErr w:type="gramEnd"/>
    </w:p>
  </w:footnote>
  <w:footnote w:id="16">
    <w:p w:rsidR="00280322" w:rsidRPr="009A6DB0" w:rsidRDefault="00280322" w:rsidP="00D15FF8">
      <w:pPr>
        <w:pStyle w:val="FootnoteText"/>
      </w:pPr>
      <w:r w:rsidRPr="00D8008F">
        <w:rPr>
          <w:rStyle w:val="FootnoteReference"/>
          <w:b/>
        </w:rPr>
        <w:footnoteRef/>
      </w:r>
      <w:r w:rsidRPr="009A6DB0">
        <w:t xml:space="preserve"> Tỷ lệ vay lại vốn ODA và vốn ưu đãi đối với TP. Hà Nội, TP. HCM là 100%; Địa phương có điều tiết về NSTW là 70%; Địa phương có tỷ lệ nhận bổ sung cân đối từ NSTW trên tổng chi cân đối NSĐP dưới 50% là 50%; Địa phương có tỷ lệ nhận bổ sung cân đối từ NSTW trên tổng chi cân đối NSĐP từ 50% đến dưới 70% là 40%; Địa phương còn lại là 30%.</w:t>
      </w:r>
    </w:p>
  </w:footnote>
  <w:footnote w:id="17">
    <w:p w:rsidR="00280322" w:rsidRPr="009A6DB0" w:rsidRDefault="00280322" w:rsidP="00D15FF8">
      <w:pPr>
        <w:pStyle w:val="FootnoteText"/>
      </w:pPr>
      <w:r w:rsidRPr="00DF5490">
        <w:rPr>
          <w:rStyle w:val="FootnoteReference"/>
          <w:b/>
        </w:rPr>
        <w:footnoteRef/>
      </w:r>
      <w:r w:rsidRPr="00DF5490">
        <w:t xml:space="preserve"> Gồm: (i) Hợp đồng Xây dựng - Kinh doanh - Chuyển giao (BOT); (ii) Hợp đồng Xây dựng - Chuyển giao - Kinh doanh (BTO); (iii) Hợp đồng Xây dựng - Sở hữu - Kinh doanh (BOO); (iv) Hợp đồng Kinh doanh - Quản lý (O&amp;M); (v) Hợp đồng Xây dựng - Chuyển giao - Thuê dịch vụ (BTL); (vi) Hợp đồng Xây dựng - Thuê dịch vụ - Chuyển giao (BLT); </w:t>
      </w:r>
      <w:bookmarkStart w:id="45" w:name="_Toc57281830"/>
      <w:r w:rsidRPr="00DF5490">
        <w:t>(vii) Hợp đồng hỗn hợp (Các loại hợp đồng nêu trên)</w:t>
      </w:r>
      <w:bookmarkEnd w:id="45"/>
      <w:r w:rsidRPr="00DF5490">
        <w:t>; (viii) Hợp đồng Xây dựng – Chuyển giao.</w:t>
      </w:r>
    </w:p>
  </w:footnote>
  <w:footnote w:id="18">
    <w:p w:rsidR="00280322" w:rsidRPr="009A6DB0" w:rsidRDefault="00280322" w:rsidP="00D15FF8">
      <w:pPr>
        <w:pStyle w:val="FootnoteText"/>
        <w:rPr>
          <w:lang w:val="pl-PL"/>
        </w:rPr>
      </w:pPr>
      <w:r w:rsidRPr="009A6DB0">
        <w:rPr>
          <w:rStyle w:val="FootnoteReference"/>
          <w:b/>
        </w:rPr>
        <w:footnoteRef/>
      </w:r>
      <w:r w:rsidRPr="009A6DB0">
        <w:rPr>
          <w:b/>
          <w:lang w:val="pl-PL"/>
        </w:rPr>
        <w:t xml:space="preserve"> </w:t>
      </w:r>
      <w:r w:rsidRPr="009A6DB0">
        <w:rPr>
          <w:lang w:val="pl-PL"/>
        </w:rPr>
        <w:t>Phân định quyền hạn và trách nhiệm của đại diện chủ sở hữu; xác định rõ quyền hạn, trách nhiệm và tính tự chủ, tự chịu trách nhiệm đối với người quản lý doanh nghiệp; tuân thủ nguyên tắc phát triển kinh tế thị trường có sự quản lý của Nhà nước, đảm bảo bình đẳng giữa mọi thành phần kinh tế trước pháp luật, thực hiện công khai, minh bạch và giám sát chặt chẽ mọi hoạt động trong đầu tư và quản lý vốn đã đầu tư của Nhà nước vào doanh nghiệp.</w:t>
      </w:r>
    </w:p>
  </w:footnote>
  <w:footnote w:id="19">
    <w:p w:rsidR="00280322" w:rsidRPr="009A6DB0" w:rsidRDefault="00280322" w:rsidP="00D15FF8">
      <w:pPr>
        <w:pStyle w:val="FootnoteText"/>
        <w:rPr>
          <w:lang w:val="pl-PL"/>
        </w:rPr>
      </w:pPr>
      <w:r w:rsidRPr="009A6DB0">
        <w:rPr>
          <w:rStyle w:val="FootnoteReference"/>
          <w:b/>
        </w:rPr>
        <w:footnoteRef/>
      </w:r>
      <w:r w:rsidRPr="009A6DB0">
        <w:rPr>
          <w:lang w:val="pl-PL"/>
        </w:rPr>
        <w:t xml:space="preserve"> Nghị định số 53/2016/NĐ-CP ngày 13/6/2016 của Chính phủ quy định về lao động, tiền lương, thù lao, tiền thưởng đối với công ty có cổ phần, vốn góp chi phối của Nhà nước; Nghị định số 71/2017/NĐ-CP ngày 06/ 6/2017 về quản trị công ty áp dụng đối với công ty đại chúng; Nghị định 32/2018/NĐ-CP sửa đổi, bổ sung Nghị định số 91/2015/NĐ-CP ngày 13/10/2015 về đầu tư vốn nhà nước vào doanh nghiệp và quản lý, sử dụng vốn, tài sản tại doanh nghiệp. </w:t>
      </w:r>
    </w:p>
  </w:footnote>
  <w:footnote w:id="20">
    <w:p w:rsidR="00280322" w:rsidRPr="009A6DB0" w:rsidRDefault="00280322" w:rsidP="00D15FF8">
      <w:pPr>
        <w:pStyle w:val="FootnoteText"/>
        <w:rPr>
          <w:lang w:val="pl-PL"/>
        </w:rPr>
      </w:pPr>
      <w:r w:rsidRPr="009A6DB0">
        <w:rPr>
          <w:rStyle w:val="FootnoteReference"/>
          <w:b/>
        </w:rPr>
        <w:footnoteRef/>
      </w:r>
      <w:r w:rsidRPr="009A6DB0">
        <w:rPr>
          <w:b/>
          <w:lang w:val="pl-PL"/>
        </w:rPr>
        <w:t xml:space="preserve"> </w:t>
      </w:r>
      <w:r w:rsidRPr="009A6DB0">
        <w:rPr>
          <w:lang w:val="pl-PL"/>
        </w:rPr>
        <w:t>Gồm các</w:t>
      </w:r>
      <w:r w:rsidRPr="009A6DB0">
        <w:rPr>
          <w:b/>
          <w:lang w:val="pl-PL"/>
        </w:rPr>
        <w:t xml:space="preserve"> </w:t>
      </w:r>
      <w:r w:rsidRPr="009A6DB0">
        <w:rPr>
          <w:lang w:val="pl-PL"/>
        </w:rPr>
        <w:t>Nghị định: số 71/2013/NĐ-CP ngày 11/7/2013; số 91/2015/NĐ-CP ngày 13/10/2015; số 32/2018/NĐ-CP ngày 08/03/2018</w:t>
      </w:r>
      <w:r w:rsidRPr="00DF5490">
        <w:rPr>
          <w:lang w:val="pl-PL"/>
        </w:rPr>
        <w:t>; số 121/2020/NĐ-CP ngày 09/10/2020; số 140/2020/NĐ-CP ngày 30/11/2020.</w:t>
      </w:r>
    </w:p>
  </w:footnote>
  <w:footnote w:id="21">
    <w:p w:rsidR="00280322" w:rsidRPr="009A6DB0" w:rsidRDefault="00280322" w:rsidP="00D15FF8">
      <w:pPr>
        <w:pStyle w:val="FootnoteText"/>
        <w:rPr>
          <w:lang w:val="pl-PL"/>
        </w:rPr>
      </w:pPr>
      <w:r w:rsidRPr="009A6DB0">
        <w:rPr>
          <w:rStyle w:val="FootnoteReference"/>
          <w:b/>
        </w:rPr>
        <w:footnoteRef/>
      </w:r>
      <w:r w:rsidRPr="009A6DB0">
        <w:rPr>
          <w:lang w:val="pl-PL"/>
        </w:rPr>
        <w:t xml:space="preserve"> Nghị định số 206/2013/NĐ-CP ngày 9/12/2013 thay thế Nghị định số 69/2002/NĐ-CP ngày 12/7/2002.</w:t>
      </w:r>
    </w:p>
  </w:footnote>
  <w:footnote w:id="22">
    <w:p w:rsidR="00280322" w:rsidRPr="009A6DB0" w:rsidRDefault="00280322" w:rsidP="00D15FF8">
      <w:pPr>
        <w:pStyle w:val="FootnoteText"/>
        <w:rPr>
          <w:lang w:val="pl-PL"/>
        </w:rPr>
      </w:pPr>
      <w:r w:rsidRPr="009A6DB0">
        <w:rPr>
          <w:rStyle w:val="FootnoteReference"/>
          <w:b/>
        </w:rPr>
        <w:footnoteRef/>
      </w:r>
      <w:r w:rsidRPr="009A6DB0">
        <w:rPr>
          <w:b/>
          <w:lang w:val="pl-PL"/>
        </w:rPr>
        <w:t xml:space="preserve"> </w:t>
      </w:r>
      <w:r w:rsidRPr="009A6DB0">
        <w:rPr>
          <w:lang w:val="pl-PL"/>
        </w:rPr>
        <w:t>Nghị định số 61/2013/NĐ-CP ngày 26 tháng 6 năm 2013; Nghị định số 81/2015/NĐ-CP ngày 18/9/2015; Nghị định số 87/2015/NĐ-CP ngày 06/10/2015.</w:t>
      </w:r>
    </w:p>
  </w:footnote>
  <w:footnote w:id="23">
    <w:p w:rsidR="00280322" w:rsidRPr="009A6DB0" w:rsidRDefault="00280322" w:rsidP="00D15FF8">
      <w:pPr>
        <w:pStyle w:val="FootnoteText"/>
        <w:rPr>
          <w:lang w:val="vi-VN"/>
        </w:rPr>
      </w:pPr>
      <w:r w:rsidRPr="009A6DB0">
        <w:rPr>
          <w:rStyle w:val="FootnoteReference"/>
          <w:b/>
        </w:rPr>
        <w:footnoteRef/>
      </w:r>
      <w:r w:rsidRPr="009A6DB0">
        <w:rPr>
          <w:lang w:val="sv-SE"/>
        </w:rPr>
        <w:t xml:space="preserve"> </w:t>
      </w:r>
      <w:r w:rsidRPr="009A6DB0">
        <w:rPr>
          <w:lang w:val="nl-NL"/>
        </w:rPr>
        <w:t xml:space="preserve">Nghị định số 53/2016/NĐ-CP ngày 13/6/2016 của Chính phủ quy định về lao động, tiền lương, thù lao, tiền thưởng đối với công ty có cổ phần, vốn góp chi phối của Nhà nước, </w:t>
      </w:r>
      <w:r w:rsidRPr="009A6DB0">
        <w:rPr>
          <w:lang w:val="pl-PL"/>
        </w:rPr>
        <w:t>Nghị định số 71/2017/NĐ-CP ngày 06/6/2017 về quản trị công ty áp dụng đối với công ty đại chúng; Nghị định 32/2018/NĐ-CP sửa đổi, bổ sung Nghị định số 91/2015/NĐ-CP ngày 13/10/2015 về đầu tư vốn nhà nước vào doanh nghiệp và quản lý, sử dụng vốn, tài sản tại doanh nghiệp.</w:t>
      </w:r>
    </w:p>
  </w:footnote>
  <w:footnote w:id="24">
    <w:p w:rsidR="00280322" w:rsidRPr="009A6DB0" w:rsidRDefault="00280322" w:rsidP="00D15FF8">
      <w:pPr>
        <w:pStyle w:val="FootnoteText"/>
        <w:rPr>
          <w:lang w:val="vi-VN"/>
        </w:rPr>
      </w:pPr>
      <w:r w:rsidRPr="009A6DB0">
        <w:rPr>
          <w:rStyle w:val="FootnoteReference"/>
          <w:b/>
        </w:rPr>
        <w:footnoteRef/>
      </w:r>
      <w:r w:rsidRPr="009A6DB0">
        <w:rPr>
          <w:lang w:val="vi-VN"/>
        </w:rPr>
        <w:t xml:space="preserve"> </w:t>
      </w:r>
      <w:r w:rsidRPr="009A6DB0">
        <w:rPr>
          <w:lang w:val="it-IT"/>
        </w:rPr>
        <w:t>Nghị định số 99/2012/NĐ-CP ngày 15/11/2012, Nghị định số 10/2019/NĐ-CP ngày 30/01/2019.</w:t>
      </w:r>
    </w:p>
  </w:footnote>
  <w:footnote w:id="25">
    <w:p w:rsidR="00280322" w:rsidRPr="009A6DB0" w:rsidRDefault="00280322" w:rsidP="00D15FF8">
      <w:pPr>
        <w:pStyle w:val="FootnoteText"/>
        <w:rPr>
          <w:lang w:val="pl-PL"/>
        </w:rPr>
      </w:pPr>
      <w:r w:rsidRPr="009A6DB0">
        <w:rPr>
          <w:rStyle w:val="FootnoteReference"/>
          <w:b/>
          <w:color w:val="000000"/>
        </w:rPr>
        <w:footnoteRef/>
      </w:r>
      <w:r w:rsidRPr="009A6DB0">
        <w:rPr>
          <w:b/>
          <w:lang w:val="pl-PL"/>
        </w:rPr>
        <w:t xml:space="preserve"> </w:t>
      </w:r>
      <w:r w:rsidRPr="009A6DB0">
        <w:rPr>
          <w:lang w:val="pl-PL"/>
        </w:rPr>
        <w:t>Tính đến nay, đã cổ phần hóa 688 doanh nghiệp và bộ phận doanh nghiệp. Trong đó: Giai đoạn 2011-2015, cổ phần hóa 508 doanh nghiệp và bộ phận doanh nghiệp; giai đoạn 2016 – 2020, cổ phần hóa 180 doanh nghiệp.</w:t>
      </w:r>
    </w:p>
    <w:p w:rsidR="00280322" w:rsidRPr="009A6DB0" w:rsidRDefault="00280322" w:rsidP="00D15FF8">
      <w:pPr>
        <w:pStyle w:val="FootnoteText"/>
        <w:rPr>
          <w:lang w:val="pl-PL"/>
        </w:rPr>
      </w:pPr>
      <w:r w:rsidRPr="009A6DB0">
        <w:rPr>
          <w:lang w:val="sv-SE"/>
        </w:rPr>
        <w:t>Theo Báo cáo của Ban chỉ đạo đổi mới và phát triển doanh nghiệp ngày 31/12/2019, cả nước hiện còn</w:t>
      </w:r>
      <w:r w:rsidRPr="009A6DB0">
        <w:rPr>
          <w:lang w:val="pl-PL"/>
        </w:rPr>
        <w:t xml:space="preserve"> 491 </w:t>
      </w:r>
      <w:r w:rsidRPr="009A6DB0">
        <w:rPr>
          <w:spacing w:val="-2"/>
          <w:lang w:val="pl-PL"/>
        </w:rPr>
        <w:t>DNNN</w:t>
      </w:r>
      <w:r w:rsidRPr="009A6DB0">
        <w:rPr>
          <w:lang w:val="nb-NO"/>
        </w:rPr>
        <w:t xml:space="preserve"> 100% vốn nhà nước</w:t>
      </w:r>
      <w:r w:rsidRPr="009A6DB0">
        <w:rPr>
          <w:lang w:val="pl-PL"/>
        </w:rPr>
        <w:t xml:space="preserve"> (trong đó, có 06 tập đoàn kinh tế, 55 tổng công ty nhà nước). </w:t>
      </w:r>
    </w:p>
    <w:p w:rsidR="00280322" w:rsidRPr="009A6DB0" w:rsidRDefault="00280322" w:rsidP="00D15FF8">
      <w:pPr>
        <w:pStyle w:val="FootnoteText"/>
        <w:rPr>
          <w:lang w:val="pl-PL"/>
        </w:rPr>
      </w:pPr>
      <w:r w:rsidRPr="009A6DB0">
        <w:rPr>
          <w:lang w:val="pl-PL"/>
        </w:rPr>
        <w:t xml:space="preserve">Doanh nghiệp do Nhà nước nắm giữ 100% vốn điều lệ chỉ còn hiện diện tại 11 ngành, lĩnh vực so với hiện diện trên 60 ngành, lĩnh vực vào năm 2001; đã tập trung vào những ngành, lĩnh vực then chốt, cung cấp sản phẩm, dịch vụ công ích thiết yếu cho xã hội và quốc phòng, an ninh. </w:t>
      </w:r>
    </w:p>
  </w:footnote>
  <w:footnote w:id="26">
    <w:p w:rsidR="00280322" w:rsidRPr="009A6DB0" w:rsidRDefault="00280322" w:rsidP="00D15FF8">
      <w:pPr>
        <w:pStyle w:val="FootnoteText"/>
      </w:pPr>
      <w:r w:rsidRPr="009A6DB0">
        <w:rPr>
          <w:rStyle w:val="FootnoteReference"/>
          <w:b/>
        </w:rPr>
        <w:footnoteRef/>
      </w:r>
      <w:r w:rsidRPr="009A6DB0">
        <w:rPr>
          <w:lang w:val="nl-NL"/>
        </w:rPr>
        <w:t xml:space="preserve"> Thực hiện Nghị quyết số 31/NQ-CP ngày 17/03/2020, Bộ Tài chính đã xây dựng, trình Chính phủ ban hành Nghị định số 60/2021/NĐ-CP ngày 21/06/2021 của Chính phủ quy định cơ chế tự chủ của đơn vị sự nghiệp công lập thay thế Nghị định số 16/2015/NĐ-CP theo hướng quy định về cơ chế tài chính của đơn vị sự nghiệp công lập chung cho tất cả các lĩnh vực.</w:t>
      </w:r>
    </w:p>
  </w:footnote>
  <w:footnote w:id="27">
    <w:p w:rsidR="00280322" w:rsidRPr="009A6DB0" w:rsidRDefault="00280322" w:rsidP="00D15FF8">
      <w:pPr>
        <w:pStyle w:val="FootnoteText"/>
        <w:rPr>
          <w:color w:val="auto"/>
        </w:rPr>
      </w:pPr>
      <w:r w:rsidRPr="00B646F2">
        <w:rPr>
          <w:b/>
          <w:color w:val="auto"/>
          <w:vertAlign w:val="superscript"/>
        </w:rPr>
        <w:footnoteRef/>
      </w:r>
      <w:r w:rsidRPr="00B646F2">
        <w:rPr>
          <w:color w:val="auto"/>
          <w:lang w:val="vi-VN"/>
        </w:rPr>
        <w:t xml:space="preserve"> Tổng giá trị tài sản tại Cơ sở dữ liệu quốc gia về tài sản công ngày 31/12/20</w:t>
      </w:r>
      <w:r w:rsidRPr="00B646F2">
        <w:rPr>
          <w:color w:val="auto"/>
        </w:rPr>
        <w:t>20</w:t>
      </w:r>
      <w:r w:rsidRPr="00B646F2">
        <w:rPr>
          <w:color w:val="auto"/>
          <w:lang w:val="vi-VN"/>
        </w:rPr>
        <w:t xml:space="preserve"> là </w:t>
      </w:r>
      <w:r w:rsidRPr="00B646F2">
        <w:rPr>
          <w:color w:val="auto"/>
        </w:rPr>
        <w:t>6.145,3 nghìn</w:t>
      </w:r>
      <w:r w:rsidRPr="00B646F2">
        <w:rPr>
          <w:color w:val="auto"/>
          <w:lang w:val="vi-VN"/>
        </w:rPr>
        <w:t xml:space="preserve"> tỷ đồng</w:t>
      </w:r>
      <w:r w:rsidRPr="00B646F2">
        <w:rPr>
          <w:color w:val="auto"/>
        </w:rPr>
        <w:t>, gồm: T</w:t>
      </w:r>
      <w:r w:rsidRPr="00B646F2">
        <w:rPr>
          <w:color w:val="auto"/>
          <w:lang w:val="vi-VN"/>
        </w:rPr>
        <w:t>ài sản là quyền sử dụng đất</w:t>
      </w:r>
      <w:r w:rsidRPr="00B646F2">
        <w:rPr>
          <w:color w:val="auto"/>
        </w:rPr>
        <w:t xml:space="preserve"> là</w:t>
      </w:r>
      <w:r w:rsidRPr="00B646F2">
        <w:rPr>
          <w:color w:val="auto"/>
          <w:lang w:val="vi-VN"/>
        </w:rPr>
        <w:t xml:space="preserve"> </w:t>
      </w:r>
      <w:r w:rsidRPr="00B646F2">
        <w:rPr>
          <w:color w:val="auto"/>
        </w:rPr>
        <w:t>915,6 nghìn</w:t>
      </w:r>
      <w:r w:rsidRPr="00B646F2">
        <w:rPr>
          <w:color w:val="auto"/>
          <w:lang w:val="vi-VN"/>
        </w:rPr>
        <w:t xml:space="preserve"> tỷ đồng;</w:t>
      </w:r>
      <w:r w:rsidRPr="00B646F2">
        <w:rPr>
          <w:color w:val="auto"/>
        </w:rPr>
        <w:t xml:space="preserve"> tài sản là </w:t>
      </w:r>
      <w:r w:rsidRPr="00B646F2">
        <w:rPr>
          <w:color w:val="auto"/>
          <w:lang w:val="vi-VN"/>
        </w:rPr>
        <w:t xml:space="preserve">nhà </w:t>
      </w:r>
      <w:r w:rsidRPr="00B646F2">
        <w:rPr>
          <w:color w:val="auto"/>
        </w:rPr>
        <w:t>411,2</w:t>
      </w:r>
      <w:r w:rsidRPr="00B646F2">
        <w:rPr>
          <w:color w:val="auto"/>
          <w:lang w:val="vi-VN"/>
        </w:rPr>
        <w:t xml:space="preserve"> </w:t>
      </w:r>
      <w:r w:rsidRPr="00B646F2">
        <w:rPr>
          <w:color w:val="auto"/>
        </w:rPr>
        <w:t xml:space="preserve">nghìn </w:t>
      </w:r>
      <w:r w:rsidRPr="00B646F2">
        <w:rPr>
          <w:color w:val="auto"/>
          <w:lang w:val="vi-VN"/>
        </w:rPr>
        <w:t xml:space="preserve">tỷ đồng; </w:t>
      </w:r>
      <w:r w:rsidRPr="00B646F2">
        <w:rPr>
          <w:color w:val="auto"/>
        </w:rPr>
        <w:t xml:space="preserve">tài sản là </w:t>
      </w:r>
      <w:r w:rsidRPr="00B646F2">
        <w:rPr>
          <w:color w:val="auto"/>
          <w:lang w:val="vi-VN"/>
        </w:rPr>
        <w:t xml:space="preserve">ô tô </w:t>
      </w:r>
      <w:r w:rsidRPr="00B646F2">
        <w:rPr>
          <w:color w:val="auto"/>
        </w:rPr>
        <w:t>25,4 nghìn</w:t>
      </w:r>
      <w:r w:rsidRPr="00B646F2">
        <w:rPr>
          <w:color w:val="auto"/>
          <w:lang w:val="vi-VN"/>
        </w:rPr>
        <w:t xml:space="preserve"> tỷ đồng; </w:t>
      </w:r>
      <w:r w:rsidRPr="00B646F2">
        <w:rPr>
          <w:color w:val="auto"/>
        </w:rPr>
        <w:t xml:space="preserve">tài sản là công trình cấp nước sạch nông thôn tập trung 29,5 nghìn tỷ đồng; tài sản kết cấu hạ tầng giao thông đường bộ 4.633,4 nghìn tỷ đồng; </w:t>
      </w:r>
      <w:r w:rsidRPr="00B646F2">
        <w:rPr>
          <w:color w:val="auto"/>
          <w:lang w:val="vi-VN"/>
        </w:rPr>
        <w:t xml:space="preserve">tài sản khác có nguyên giá từ </w:t>
      </w:r>
      <w:r w:rsidRPr="00B646F2">
        <w:rPr>
          <w:color w:val="auto"/>
        </w:rPr>
        <w:t>0,</w:t>
      </w:r>
      <w:r w:rsidRPr="00B646F2">
        <w:rPr>
          <w:color w:val="auto"/>
          <w:lang w:val="vi-VN"/>
        </w:rPr>
        <w:t>5</w:t>
      </w:r>
      <w:r w:rsidRPr="00B646F2">
        <w:rPr>
          <w:color w:val="auto"/>
        </w:rPr>
        <w:t xml:space="preserve"> </w:t>
      </w:r>
      <w:r w:rsidRPr="00B646F2">
        <w:rPr>
          <w:color w:val="auto"/>
          <w:lang w:val="vi-VN"/>
        </w:rPr>
        <w:t>t</w:t>
      </w:r>
      <w:r w:rsidRPr="00B646F2">
        <w:rPr>
          <w:color w:val="auto"/>
        </w:rPr>
        <w:t>ỷ</w:t>
      </w:r>
      <w:r w:rsidRPr="00B646F2">
        <w:rPr>
          <w:color w:val="auto"/>
          <w:lang w:val="vi-VN"/>
        </w:rPr>
        <w:t xml:space="preserve"> đồng trở lên/01 đơn vị tài sản </w:t>
      </w:r>
      <w:r w:rsidRPr="00B646F2">
        <w:rPr>
          <w:color w:val="auto"/>
        </w:rPr>
        <w:t>là 130,2</w:t>
      </w:r>
      <w:r w:rsidRPr="00B646F2">
        <w:rPr>
          <w:color w:val="auto"/>
          <w:lang w:val="vi-VN"/>
        </w:rPr>
        <w:t xml:space="preserve"> </w:t>
      </w:r>
      <w:r w:rsidRPr="00B646F2">
        <w:rPr>
          <w:color w:val="auto"/>
        </w:rPr>
        <w:t xml:space="preserve">nghìn </w:t>
      </w:r>
      <w:r w:rsidRPr="00B646F2">
        <w:rPr>
          <w:color w:val="auto"/>
          <w:lang w:val="vi-VN"/>
        </w:rPr>
        <w:t>tỷ đồng.</w:t>
      </w:r>
      <w:r w:rsidRPr="009A6DB0">
        <w:rPr>
          <w:color w:val="auto"/>
          <w:lang w:val="vi-VN"/>
        </w:rPr>
        <w:t xml:space="preserve"> </w:t>
      </w:r>
    </w:p>
  </w:footnote>
  <w:footnote w:id="28">
    <w:p w:rsidR="00280322" w:rsidRPr="009A6DB0" w:rsidRDefault="00280322" w:rsidP="00D15FF8">
      <w:pPr>
        <w:pStyle w:val="FootnoteText"/>
      </w:pPr>
      <w:r w:rsidRPr="009A6DB0">
        <w:rPr>
          <w:rStyle w:val="FootnoteReference"/>
          <w:b/>
        </w:rPr>
        <w:footnoteRef/>
      </w:r>
      <w:r w:rsidRPr="009A6DB0">
        <w:t xml:space="preserve"> Khoản 3 Điều 1 quy định về: (1) Cơ cấu tổ chức của sở; (2) Tiêu chí thành lập phòng chuyên môn nghiệp vụ thuộc sở; (3) Tiêu chí thành lập phòng và tương dương thuộc chi cục thuộc sở.</w:t>
      </w:r>
    </w:p>
    <w:p w:rsidR="00280322" w:rsidRPr="009A6DB0" w:rsidRDefault="00280322" w:rsidP="00D15FF8">
      <w:pPr>
        <w:pStyle w:val="FootnoteText"/>
      </w:pPr>
      <w:r w:rsidRPr="009A6DB0">
        <w:t xml:space="preserve">Khoản 12 Điều 1 quy định nhiệm vụ của Bộ trưởng: (1) Chỉ đạo, </w:t>
      </w:r>
      <w:r w:rsidRPr="009A6DB0">
        <w:rPr>
          <w:u w:val="single"/>
        </w:rPr>
        <w:t>hướng dẫn và kiểm tra về chuyên môn nghiệp vụ</w:t>
      </w:r>
      <w:r w:rsidRPr="009A6DB0">
        <w:t xml:space="preserve"> đối với sở </w:t>
      </w:r>
      <w:proofErr w:type="gramStart"/>
      <w:r w:rsidRPr="009A6DB0">
        <w:t>theo</w:t>
      </w:r>
      <w:proofErr w:type="gramEnd"/>
      <w:r w:rsidRPr="009A6DB0">
        <w:t xml:space="preserve"> ngành, lĩnh vực thuộc phạm vi quản lý. (2) Hướng dẫn thực hiện </w:t>
      </w:r>
      <w:r w:rsidRPr="009A6DB0">
        <w:rPr>
          <w:u w:val="single"/>
        </w:rPr>
        <w:t xml:space="preserve">chức năng, nhiệm vụ, quyền hạn </w:t>
      </w:r>
      <w:proofErr w:type="gramStart"/>
      <w:r w:rsidRPr="009A6DB0">
        <w:rPr>
          <w:u w:val="single"/>
        </w:rPr>
        <w:t>theo</w:t>
      </w:r>
      <w:proofErr w:type="gramEnd"/>
      <w:r w:rsidRPr="009A6DB0">
        <w:rPr>
          <w:u w:val="single"/>
        </w:rPr>
        <w:t xml:space="preserve"> ngành</w:t>
      </w:r>
      <w:r w:rsidRPr="009A6DB0">
        <w:t xml:space="preserve">, lĩnh vực thuộc phạm vi quản lý đối với cơ quan chuyên môn thuộc </w:t>
      </w:r>
      <w:r>
        <w:t>UBND</w:t>
      </w:r>
      <w:r w:rsidRPr="009A6DB0">
        <w:t xml:space="preserve"> cấp tỉnh, cấp huyện và hướng dẫn chức năng, nhiệm vụ, quyền hạn của chi cục thuộc sở. (3) Hướng dẫn thực hiện </w:t>
      </w:r>
      <w:r w:rsidRPr="009A6DB0">
        <w:rPr>
          <w:u w:val="single"/>
        </w:rPr>
        <w:t>chức năng, nhiệm vụ, quyền hạn và cơ cấu tổ chức của đơn vị sự nghiệp công lập thuộc sở</w:t>
      </w:r>
      <w:r w:rsidRPr="009A6DB0">
        <w:t xml:space="preserve"> theo ngành, lĩnh vực quản lý</w:t>
      </w:r>
      <w:proofErr w:type="gramStart"/>
      <w:r w:rsidRPr="009A6DB0">
        <w:t>.(</w:t>
      </w:r>
      <w:proofErr w:type="gramEnd"/>
      <w:r w:rsidRPr="009A6DB0">
        <w:t>4) Kiểm tra, thanh tra, giải quyết khiếu nại, tố cáo theo thẩm quyền.</w:t>
      </w:r>
      <w:r w:rsidRPr="009A6DB0">
        <w:rPr>
          <w:lang w:val="vi-VN"/>
        </w:rPr>
        <w:t xml:space="preserve"> </w:t>
      </w:r>
    </w:p>
  </w:footnote>
  <w:footnote w:id="29">
    <w:p w:rsidR="00280322" w:rsidRPr="009A6DB0" w:rsidRDefault="00280322" w:rsidP="00D15FF8">
      <w:pPr>
        <w:pStyle w:val="FootnoteText"/>
      </w:pPr>
      <w:r w:rsidRPr="009A6DB0">
        <w:rPr>
          <w:rStyle w:val="FootnoteReference"/>
          <w:b/>
        </w:rPr>
        <w:footnoteRef/>
      </w:r>
      <w:r w:rsidRPr="009A6DB0">
        <w:rPr>
          <w:b/>
        </w:rPr>
        <w:t xml:space="preserve"> </w:t>
      </w:r>
      <w:r w:rsidRPr="009A6DB0">
        <w:t>Năm 2016: 61/63 địa phương đạt và vượt dự toán Trung ương giao;  02 địa phương giảm thu so với dự toán (Lạng Sơn 89,2%, Bà Rịa</w:t>
      </w:r>
      <w:r>
        <w:t xml:space="preserve"> </w:t>
      </w:r>
      <w:r w:rsidRPr="009A6DB0">
        <w:t>-</w:t>
      </w:r>
      <w:r>
        <w:t xml:space="preserve"> </w:t>
      </w:r>
      <w:r w:rsidRPr="009A6DB0">
        <w:t>Vũng Tàu  77,9%;  Năm 2017: 57/63 địa phương vượt dự toán; 06 địa phương giảm thu (Hải Phòng 94,5%, Vĩnh Phúc 85,3%, Thái Bình 99,4 %; Quảng Nam 96,7%; TP. HCM 98,6%, Sóc Trăng 93,2%; Năm 2018: 58/63 địa phương vượt dự toán; 5 địa phương giảm thu (Hà Giang 99,2%, Lạng Sơn 91,6%, TP. Hà Nội 94,82%, Đồng Nai 93,1%, Bình Dương 96,2%;  Năm 2019: 63/63 địa phương vượt dự toán; Năm 2020: 52/63 địa phương vượt dự toán thu; 11 địa phương giảm thu (Hòa Bình 92,7%, TP. Hà Nội 89,7%, TP.</w:t>
      </w:r>
      <w:r>
        <w:t xml:space="preserve"> </w:t>
      </w:r>
      <w:r w:rsidRPr="009A6DB0">
        <w:t>Hải Phòng 91,44%, Hải Dương 94%, Vĩnh Phúc 97,3%; Đà Nẵng 76,7%; Quảng Nam 89,9%, Quảng Ngãi 94,9%, Phúc Yên 95,1%, Khánh Hòa 80%, TP. HCM 91,8%.</w:t>
      </w:r>
    </w:p>
  </w:footnote>
  <w:footnote w:id="30">
    <w:p w:rsidR="00280322" w:rsidRPr="009A6DB0" w:rsidRDefault="00280322" w:rsidP="00D15FF8">
      <w:pPr>
        <w:pStyle w:val="FootnoteText"/>
      </w:pPr>
      <w:r w:rsidRPr="009A6DB0">
        <w:rPr>
          <w:rStyle w:val="FootnoteReference"/>
          <w:b/>
        </w:rPr>
        <w:footnoteRef/>
      </w:r>
      <w:r w:rsidRPr="009A6DB0">
        <w:t xml:space="preserve"> </w:t>
      </w:r>
      <w:r w:rsidRPr="009A6DB0">
        <w:rPr>
          <w:lang w:val="nl-NL"/>
        </w:rPr>
        <w:t xml:space="preserve">Thu vào NSNN đạt khoảng 250 nghìn tỷ đồng nguồn cổ phần hóa, thoái vốn nhà nước tại DNNN; 384 nghìn tỷ đồng nguồn cổ tức, lợi nhuận sau thuế và chênh lệch thu chi NHNN theo Luật NSNN và Luật quản lý đầu tư vốn nhà nước vào doanh nghiệp; thu tiền sử dụng đất khoảng 647 nghìn tỷ đồng, gấp khoảng 2,5 lần so với giai đoạn 2011-2015. </w:t>
      </w:r>
    </w:p>
  </w:footnote>
  <w:footnote w:id="31">
    <w:p w:rsidR="00280322" w:rsidRPr="009A6DB0" w:rsidRDefault="00280322" w:rsidP="00D15FF8">
      <w:pPr>
        <w:pStyle w:val="FootnoteText"/>
      </w:pPr>
      <w:r w:rsidRPr="009A6DB0">
        <w:rPr>
          <w:rStyle w:val="FootnoteReference"/>
          <w:b/>
        </w:rPr>
        <w:footnoteRef/>
      </w:r>
      <w:r w:rsidRPr="009A6DB0">
        <w:t xml:space="preserve"> </w:t>
      </w:r>
      <w:r w:rsidRPr="009A6DB0">
        <w:rPr>
          <w:lang w:val="nl-NL"/>
        </w:rPr>
        <w:t xml:space="preserve">Quy mô thu NSNN trên 10 nghìn tỷ đồng/năm tăng thêm 10 địa phương: </w:t>
      </w:r>
      <w:r w:rsidRPr="009A6DB0">
        <w:t>Thái Nguyên, Bắc Giang, Hải Dương, Hưng Yên, Ninh Bình, Bình Định, Long An, Tiền Giang, Cần Thơ và Kiên Giang.</w:t>
      </w:r>
    </w:p>
  </w:footnote>
  <w:footnote w:id="32">
    <w:p w:rsidR="00280322" w:rsidRPr="009A6DB0" w:rsidRDefault="00280322" w:rsidP="00D15FF8">
      <w:pPr>
        <w:pStyle w:val="FootnoteText"/>
        <w:rPr>
          <w:lang w:val="nl-NL"/>
        </w:rPr>
      </w:pPr>
      <w:r w:rsidRPr="009A6DB0">
        <w:rPr>
          <w:rStyle w:val="FootnoteReference"/>
          <w:b/>
        </w:rPr>
        <w:footnoteRef/>
      </w:r>
      <w:r w:rsidRPr="009A6DB0">
        <w:rPr>
          <w:b/>
          <w:lang w:val="nl-NL"/>
        </w:rPr>
        <w:t xml:space="preserve"> </w:t>
      </w:r>
      <w:r w:rsidRPr="009A6DB0">
        <w:rPr>
          <w:lang w:val="nl-NL"/>
        </w:rPr>
        <w:t xml:space="preserve">Nghị quyết số 07-NQ/TW ngày 18/11/2016 của Ban Chấp hành Trung ương về chủ trương, giải pháp cơ cấu lại NSNN, quản lý nợ công để bảo đảm nền tài chính quốc gia an toàn, bền vững; Nghị quyết số 37/2004/QH11 về chi đầu tư cho GDĐT đạt 20% tổng chi NSNN trước năm 2010 từ 2-3 năm; theo Nghị quyết số 41-NQ/TW ngày 15/11/2004 của Bộ Chính trị về chi sự nghiệp môi trường đạt khoảng 1% chi NSNN; Kết luận số 20-KL/TW ngày 28/11/2008; Nghị quyết Trung ương 2 Khoá VIII chi ngân sách cho lĩnh vực KHCN đạt 2%; Nghị quyết số 13-NQ/TW, Hội nghị lần thứ 4, Khóa XI về xây dựng hệ thống kêt cấu hạ tầng đồng bộ; Kết luận số 23-KL/TW ngày 29/5/2012 và Nghị quyết số 15-NQ/TW ngày 01/6/2012 một số vấn đề về chính sách xã hội giai đoạn 2012-2020; đồng thời, thực hiện Nghị quyết số 26-NQ/TW ngày 5/8/2008 của Ban Chấp hành Trung ương về nông nghiệp, nông thôn, nông dân; Nghị quyết số 76/2014/QH13 ngày 24/6/2014 của Quốc hội khóa XIII về đẩy mạnh thực hiện mục tiêu giảm nghèo bền vững đến năm 2020; triển khai các luật, pháp lệnh (bảo hiểm y tế, bảo hiểm xã hội, người khuyết tật, người cao tuổi, bà mẹ Việt Nam anh hùng); Nghị quyết số 29/NQ-TW ngày 04/11/2013 của Hội nghị lần thứ 8, khóa XI về đổi mới căn bản, toàn diện giáo dục và đào tạo.   </w:t>
      </w:r>
    </w:p>
  </w:footnote>
  <w:footnote w:id="33">
    <w:p w:rsidR="00280322" w:rsidRPr="009A6DB0" w:rsidRDefault="00280322" w:rsidP="00D15FF8">
      <w:pPr>
        <w:pStyle w:val="FootnoteText"/>
        <w:rPr>
          <w:lang w:val="vi-VN"/>
        </w:rPr>
      </w:pPr>
      <w:r w:rsidRPr="009A6DB0">
        <w:rPr>
          <w:rStyle w:val="FootnoteReference"/>
          <w:b/>
        </w:rPr>
        <w:footnoteRef/>
      </w:r>
      <w:r w:rsidRPr="009A6DB0">
        <w:rPr>
          <w:lang w:val="vi-VN"/>
        </w:rPr>
        <w:t xml:space="preserve"> Diễn đàn Kinh tế Thế giới (WEF) công bố dựa trên kết quả thực hiện tại 141 nước, qua 103 chỉ số được nhóm thành 12 trụ cột (GCI 2018 bao gồm 98 chỉ số). Các trụ cột bao quát các yếu tố kinh tế - xã hội như thể chế, cơ sở hạ tầng, ứng dụng công nghệ thông tin, ổn định kinh tế vĩ mô, y tế, kỹ năng, thị trường sản phẩm, thị trường lao động, hệ thống tài chính, quy mô thị trường, mức độ năng động trong kinh doanh và năng lực đổi mới sáng tạo.</w:t>
      </w:r>
    </w:p>
  </w:footnote>
  <w:footnote w:id="34">
    <w:p w:rsidR="00280322" w:rsidRPr="009A6DB0" w:rsidRDefault="00280322" w:rsidP="00D15FF8">
      <w:pPr>
        <w:pStyle w:val="FootnoteText"/>
        <w:rPr>
          <w:lang w:val="vi-VN"/>
        </w:rPr>
      </w:pPr>
      <w:r w:rsidRPr="009A6DB0">
        <w:rPr>
          <w:rStyle w:val="FootnoteReference"/>
          <w:b/>
        </w:rPr>
        <w:footnoteRef/>
      </w:r>
      <w:r w:rsidRPr="009A6DB0">
        <w:rPr>
          <w:lang w:val="vi-VN"/>
        </w:rPr>
        <w:t xml:space="preserve"> Nếu không bao gồm chi tạo nguồn thực hiện cải cách tiền lương, khoảng 60,5%</w:t>
      </w:r>
      <w:r w:rsidRPr="009A6DB0">
        <w:t xml:space="preserve"> dự toán năm 2020</w:t>
      </w:r>
      <w:r w:rsidRPr="009A6DB0">
        <w:rPr>
          <w:lang w:val="vi-VN"/>
        </w:rPr>
        <w:t>.</w:t>
      </w:r>
    </w:p>
  </w:footnote>
  <w:footnote w:id="35">
    <w:p w:rsidR="00280322" w:rsidRPr="009A6DB0" w:rsidRDefault="00280322" w:rsidP="00D15FF8">
      <w:pPr>
        <w:pStyle w:val="FootnoteText"/>
        <w:rPr>
          <w:lang w:val="vi-VN"/>
        </w:rPr>
      </w:pPr>
      <w:r w:rsidRPr="009A6DB0">
        <w:rPr>
          <w:rStyle w:val="FootnoteReference"/>
          <w:b/>
        </w:rPr>
        <w:footnoteRef/>
      </w:r>
      <w:r w:rsidRPr="009A6DB0">
        <w:rPr>
          <w:lang w:val="vi-VN"/>
        </w:rPr>
        <w:t xml:space="preserve"> Riêng đối với năm 2020, dự toán đã bố trí nhưng trong điều hành do tác động của đại dịch Covid-19, Quốc hội đã quyết định chưa thực hiện điều chỉnh mức lương cơ sở theo Nghị quyết số 122/2020/QH14.</w:t>
      </w:r>
    </w:p>
  </w:footnote>
  <w:footnote w:id="36">
    <w:p w:rsidR="00280322" w:rsidRPr="009A6DB0" w:rsidRDefault="00280322" w:rsidP="00D15FF8">
      <w:pPr>
        <w:pStyle w:val="FootnoteText"/>
      </w:pPr>
      <w:r w:rsidRPr="009A6DB0">
        <w:rPr>
          <w:rStyle w:val="FootnoteReference"/>
          <w:b/>
        </w:rPr>
        <w:footnoteRef/>
      </w:r>
      <w:r w:rsidRPr="009A6DB0">
        <w:t xml:space="preserve"> </w:t>
      </w:r>
      <w:r w:rsidRPr="009A6DB0">
        <w:rPr>
          <w:lang w:val="vi-VN"/>
        </w:rPr>
        <w:t>Tăng mạnh so với năm 2015 là 76,5</w:t>
      </w:r>
      <w:r w:rsidRPr="009A6DB0">
        <w:t>%</w:t>
      </w:r>
      <w:r w:rsidRPr="009A6DB0">
        <w:rPr>
          <w:lang w:val="vi-VN"/>
        </w:rPr>
        <w:t>.</w:t>
      </w:r>
    </w:p>
  </w:footnote>
  <w:footnote w:id="37">
    <w:p w:rsidR="00280322" w:rsidRPr="009A6DB0" w:rsidRDefault="00280322" w:rsidP="00D15FF8">
      <w:pPr>
        <w:pStyle w:val="FootnoteText"/>
        <w:rPr>
          <w:lang w:val="vi-VN"/>
        </w:rPr>
      </w:pPr>
      <w:r w:rsidRPr="009A6DB0">
        <w:rPr>
          <w:rStyle w:val="FootnoteReference"/>
          <w:b/>
        </w:rPr>
        <w:footnoteRef/>
      </w:r>
      <w:r w:rsidRPr="009A6DB0">
        <w:rPr>
          <w:rStyle w:val="FootnoteReference"/>
          <w:lang w:val="vi-VN"/>
        </w:rPr>
        <w:t xml:space="preserve"> </w:t>
      </w:r>
      <w:r w:rsidRPr="009A6DB0">
        <w:rPr>
          <w:lang w:val="vi-VN"/>
        </w:rPr>
        <w:t>Kết quả điều tra mức sống hộ gia đình của Tổng cục Thống kê công bố năm 2018 cho thấy, tỷ lệ dân số trên 15 tuổi chưa bao giờ đến trường đã giảm từ 8,1% năm 2006 xuống 5,4% năm 2016; 98,2% số xã có trường tiểu học; 91,5% số xã có trường trung học cơ sở; 99,5% số xã có trạm y tế xã.</w:t>
      </w:r>
    </w:p>
  </w:footnote>
  <w:footnote w:id="38">
    <w:p w:rsidR="00280322" w:rsidRPr="009A6DB0" w:rsidRDefault="00280322" w:rsidP="004D25CF">
      <w:pPr>
        <w:pStyle w:val="FootnoteText"/>
        <w:rPr>
          <w:lang w:val="vi-VN"/>
        </w:rPr>
      </w:pPr>
      <w:r w:rsidRPr="009A6DB0">
        <w:rPr>
          <w:rStyle w:val="FootnoteReference"/>
          <w:b/>
          <w:color w:val="000000"/>
        </w:rPr>
        <w:footnoteRef/>
      </w:r>
      <w:r w:rsidRPr="009A6DB0">
        <w:rPr>
          <w:lang w:val="vi-VN"/>
        </w:rPr>
        <w:t xml:space="preserve"> Không bao gồm tạm ứng </w:t>
      </w:r>
      <w:r w:rsidRPr="009A6DB0">
        <w:rPr>
          <w:szCs w:val="28"/>
          <w:lang w:val="vi-VN"/>
        </w:rPr>
        <w:t>ngân quỹ nhà nước</w:t>
      </w:r>
      <w:r w:rsidRPr="009A6DB0">
        <w:rPr>
          <w:lang w:val="vi-VN"/>
        </w:rPr>
        <w:t xml:space="preserve"> cho chính quyền địa phương năm 2020 thực hiện hoàn trả trong năm với trị giá khoảng 700 tỷ đồng. </w:t>
      </w:r>
    </w:p>
  </w:footnote>
  <w:footnote w:id="39">
    <w:p w:rsidR="00280322" w:rsidRPr="009A6DB0" w:rsidRDefault="00280322" w:rsidP="004D25CF">
      <w:pPr>
        <w:pStyle w:val="FootnoteText"/>
        <w:rPr>
          <w:lang w:val="vi-VN"/>
        </w:rPr>
      </w:pPr>
      <w:r w:rsidRPr="009A6DB0">
        <w:rPr>
          <w:rStyle w:val="FootnoteReference"/>
          <w:b/>
          <w:color w:val="000000"/>
        </w:rPr>
        <w:footnoteRef/>
      </w:r>
      <w:r w:rsidRPr="009A6DB0">
        <w:rPr>
          <w:b/>
          <w:lang w:val="vi-VN"/>
        </w:rPr>
        <w:t xml:space="preserve"> </w:t>
      </w:r>
      <w:r w:rsidRPr="009A6DB0">
        <w:rPr>
          <w:lang w:val="vi-VN"/>
        </w:rPr>
        <w:t>Dư nợ chính quyền địa phương bao gồm cho vay lại và vay NHPT, được loại ra khi tổng hợp nợ công để tránh tính trùng.</w:t>
      </w:r>
    </w:p>
  </w:footnote>
  <w:footnote w:id="40">
    <w:p w:rsidR="00280322" w:rsidRPr="009A6DB0" w:rsidRDefault="00280322" w:rsidP="00D15FF8">
      <w:pPr>
        <w:pStyle w:val="FootnoteText"/>
        <w:rPr>
          <w:lang w:val="vi-VN"/>
        </w:rPr>
      </w:pPr>
      <w:r w:rsidRPr="009A6DB0">
        <w:rPr>
          <w:rStyle w:val="FootnoteReference"/>
          <w:b/>
          <w:color w:val="000000"/>
        </w:rPr>
        <w:footnoteRef/>
      </w:r>
      <w:r w:rsidRPr="009A6DB0">
        <w:rPr>
          <w:b/>
          <w:lang w:val="it-IT"/>
        </w:rPr>
        <w:t xml:space="preserve"> </w:t>
      </w:r>
      <w:r w:rsidRPr="009A6DB0">
        <w:rPr>
          <w:lang w:val="vi-VN"/>
        </w:rPr>
        <w:t xml:space="preserve">Hiện có khoảng </w:t>
      </w:r>
      <w:r w:rsidRPr="009A6DB0">
        <w:rPr>
          <w:lang w:val="it-IT"/>
        </w:rPr>
        <w:t>58</w:t>
      </w:r>
      <w:r w:rsidRPr="009A6DB0">
        <w:rPr>
          <w:lang w:val="vi-VN"/>
        </w:rPr>
        <w:t xml:space="preserve">/63 địa phương có dư nợ vay từ nguồn vốn Chính phủ vay về cho vay lại. Địa phương vay nhiều nhất là thành phố HCM, sau đó là Hà Nội, Vĩnh Phúc, Thái Bình, Thanh Hoá, Nghệ An. </w:t>
      </w:r>
    </w:p>
  </w:footnote>
  <w:footnote w:id="41">
    <w:p w:rsidR="00280322" w:rsidRPr="009A6DB0" w:rsidRDefault="00280322" w:rsidP="00D15FF8">
      <w:pPr>
        <w:pStyle w:val="FootnoteText"/>
        <w:rPr>
          <w:lang w:val="vi-VN"/>
        </w:rPr>
      </w:pPr>
      <w:r w:rsidRPr="009A6DB0">
        <w:rPr>
          <w:rStyle w:val="FootnoteReference"/>
          <w:b/>
          <w:color w:val="000000"/>
        </w:rPr>
        <w:footnoteRef/>
      </w:r>
      <w:r w:rsidRPr="009A6DB0">
        <w:rPr>
          <w:b/>
          <w:lang w:val="vi-VN"/>
        </w:rPr>
        <w:t xml:space="preserve"> </w:t>
      </w:r>
      <w:r w:rsidRPr="009A6DB0">
        <w:rPr>
          <w:lang w:val="vi-VN"/>
        </w:rPr>
        <w:t xml:space="preserve">Trong giai đoạn trước 2015, các địa phương tận dụng tối đa nguồn vay </w:t>
      </w:r>
      <w:r w:rsidRPr="009A6DB0">
        <w:rPr>
          <w:szCs w:val="28"/>
          <w:lang w:val="vi-VN"/>
        </w:rPr>
        <w:t>ngân quỹ nhà nước</w:t>
      </w:r>
      <w:r w:rsidRPr="009A6DB0">
        <w:rPr>
          <w:sz w:val="12"/>
          <w:lang w:val="vi-VN"/>
        </w:rPr>
        <w:t xml:space="preserve"> </w:t>
      </w:r>
      <w:r w:rsidRPr="009A6DB0">
        <w:rPr>
          <w:lang w:val="vi-VN"/>
        </w:rPr>
        <w:t xml:space="preserve">do lãi suất các khoản vay tương đối rẻ so với mặt bằng thị trường, khoảng 0,1%/tháng. Tuy nhiên, trong giai đoạn 2016 đến nay, các địa phương phải thực hiện vay trong tổng hạn mức vay hằng năm của địa phương. Việc tăng giải ngân vốn vay nước ngoài cho vay lại buộc các địa phương phải cân nhắc quyết định vay từ </w:t>
      </w:r>
      <w:r w:rsidRPr="009A6DB0">
        <w:rPr>
          <w:szCs w:val="28"/>
          <w:lang w:val="vi-VN"/>
        </w:rPr>
        <w:t>ngân quỹ nhà nước</w:t>
      </w:r>
      <w:r w:rsidRPr="009A6DB0">
        <w:rPr>
          <w:lang w:val="vi-VN"/>
        </w:rPr>
        <w:t>.</w:t>
      </w:r>
    </w:p>
  </w:footnote>
  <w:footnote w:id="42">
    <w:p w:rsidR="00280322" w:rsidRPr="009A6DB0" w:rsidRDefault="00280322" w:rsidP="00D15FF8">
      <w:pPr>
        <w:pStyle w:val="FootnoteText"/>
        <w:rPr>
          <w:lang w:val="vi-VN"/>
        </w:rPr>
      </w:pPr>
      <w:r w:rsidRPr="009A6DB0">
        <w:rPr>
          <w:rStyle w:val="FootnoteReference"/>
          <w:b/>
          <w:color w:val="000000"/>
        </w:rPr>
        <w:footnoteRef/>
      </w:r>
      <w:r w:rsidRPr="009A6DB0">
        <w:rPr>
          <w:lang w:val="vi-VN"/>
        </w:rPr>
        <w:t xml:space="preserve"> Các khoản chính quyền địa phương vay từ NHPT chủ yếu được thực hiện trên cơ sở các quyết định của Thủ tướng Chính phủ về tín dụng ĐTPT của Nhà nước để thực hiện chương trình kiên cố hoá kênh mương, đầu tư các dự án đường giao thông nông thôn, cơ sở hạ tầng nuôi trồng thuỷ sản, cơ sở hạ tầng làng nghề ở nông thôn, tôn nền vượt lũ, các trạm bơm điện phục vụ tưới tiêu sản xuất nông nghiệp.</w:t>
      </w:r>
    </w:p>
  </w:footnote>
  <w:footnote w:id="43">
    <w:p w:rsidR="00280322" w:rsidRPr="009A6DB0" w:rsidRDefault="00280322" w:rsidP="00D15FF8">
      <w:pPr>
        <w:pStyle w:val="FootnoteText"/>
      </w:pPr>
      <w:r w:rsidRPr="009A6DB0">
        <w:rPr>
          <w:rStyle w:val="FootnoteReference"/>
          <w:b/>
        </w:rPr>
        <w:footnoteRef/>
      </w:r>
      <w:r w:rsidRPr="009A6DB0">
        <w:rPr>
          <w:b/>
        </w:rPr>
        <w:t xml:space="preserve"> </w:t>
      </w:r>
      <w:r w:rsidRPr="009A6DB0">
        <w:t>Năm 2017 có 19 địa phương (Hà Giang, Tuyên Quang, Cao Bằng, Lạng Sơn, Lào Cai, Bắc Kạn, Phú Thọ, Hòa Bình, Lai Châu, Điện Biên, Hà Nam, Nam Định, Ninh Bình, Thái Bình, Nghệ An, Hà Tĩnh, Quảng Bình, Lâm Đồng, Đồng Tháp); năm 2018 có 05 địa phương (Hà Giang, Cao Bằng, Lạng Sơn, Yên Bái, Điện Biên); năm 2011 có 01 địa phương (Điện Biên).</w:t>
      </w:r>
    </w:p>
  </w:footnote>
  <w:footnote w:id="44">
    <w:p w:rsidR="00280322" w:rsidRPr="009A6DB0" w:rsidRDefault="00280322" w:rsidP="00D15FF8">
      <w:pPr>
        <w:pStyle w:val="FootnoteText"/>
      </w:pPr>
      <w:r w:rsidRPr="009A6DB0">
        <w:rPr>
          <w:rStyle w:val="FootnoteReference"/>
          <w:b/>
        </w:rPr>
        <w:footnoteRef/>
      </w:r>
      <w:r w:rsidRPr="009A6DB0">
        <w:t xml:space="preserve"> Một số địa phương còn nợ đọng XDCB như: Yên Bái, Bắc Giang, Vĩnh Phúc, Nam Định, Ninh Bình, Đà Nẵng, Quảng Ngãi, Ninh Thuận, Kon Tum,…</w:t>
      </w:r>
    </w:p>
  </w:footnote>
  <w:footnote w:id="45">
    <w:p w:rsidR="00280322" w:rsidRPr="00CC5B58" w:rsidRDefault="00280322" w:rsidP="00D15FF8">
      <w:pPr>
        <w:pStyle w:val="FootnoteText"/>
        <w:rPr>
          <w:lang w:val="nb-NO"/>
        </w:rPr>
      </w:pPr>
      <w:r w:rsidRPr="00CC5B58">
        <w:rPr>
          <w:rStyle w:val="FootnoteReference"/>
          <w:b/>
        </w:rPr>
        <w:footnoteRef/>
      </w:r>
      <w:r w:rsidRPr="00CC5B58">
        <w:rPr>
          <w:b/>
          <w:lang w:val="it-IT"/>
        </w:rPr>
        <w:t xml:space="preserve"> </w:t>
      </w:r>
      <w:r w:rsidRPr="00CC5B58">
        <w:rPr>
          <w:lang w:val="nb-NO"/>
        </w:rPr>
        <w:t xml:space="preserve">Tổng tài sản của các doanh nghiệp năm 2018 tăng 2% so với năm 2017, năm 2019 giảm 2% so với năm 2018, năm 2020 giảm 6% so với năm 2019. </w:t>
      </w:r>
    </w:p>
    <w:p w:rsidR="00280322" w:rsidRPr="00CC5B58" w:rsidRDefault="00280322" w:rsidP="00D15FF8">
      <w:pPr>
        <w:pStyle w:val="FootnoteText"/>
        <w:rPr>
          <w:lang w:val="nb-NO"/>
        </w:rPr>
      </w:pPr>
      <w:r w:rsidRPr="00CC5B58">
        <w:rPr>
          <w:lang w:val="nb-NO"/>
        </w:rPr>
        <w:t>Vốn chủ sở hữu của các doanh nghiệp năm 2018 tăng 5% so với năm 2017, năm 2019 tăng 1% so với năm 2018, năm 2020 giảm 1% so với năm 2019.</w:t>
      </w:r>
    </w:p>
    <w:p w:rsidR="00280322" w:rsidRPr="00CC5B58" w:rsidRDefault="00280322" w:rsidP="00D15FF8">
      <w:pPr>
        <w:pStyle w:val="FootnoteText"/>
        <w:rPr>
          <w:lang w:val="nb-NO"/>
        </w:rPr>
      </w:pPr>
      <w:r w:rsidRPr="00CC5B58">
        <w:rPr>
          <w:lang w:val="nb-NO"/>
        </w:rPr>
        <w:t xml:space="preserve">Tổng doanh thu của các doanh nghiệp năm 2018 tăng 9% so với năm 2017, năm 2019 giảm 2% so với năm 2018, năm 2020 giảm 7% so với năm 2019. </w:t>
      </w:r>
    </w:p>
    <w:p w:rsidR="00280322" w:rsidRPr="00CC5B58" w:rsidRDefault="00280322" w:rsidP="00D15FF8">
      <w:pPr>
        <w:pStyle w:val="FootnoteText"/>
        <w:rPr>
          <w:lang w:val="nb-NO"/>
        </w:rPr>
      </w:pPr>
      <w:r w:rsidRPr="00CC5B58">
        <w:rPr>
          <w:lang w:val="nb-NO"/>
        </w:rPr>
        <w:t>Tỷ suất Lợi nhuận trước thuế thu nhập doanh nghiệp/Vốn chủ sở hữu bình quân chung của các doanh nghiệp năm 2017 và năm 2018 là 12%, năm 2019 tỷ lệ này là 13%, năm 2020 tỷ lệ này là 11%.</w:t>
      </w:r>
    </w:p>
    <w:p w:rsidR="00280322" w:rsidRPr="0005617E" w:rsidRDefault="00280322" w:rsidP="00D15FF8">
      <w:pPr>
        <w:pStyle w:val="FootnoteText"/>
        <w:rPr>
          <w:lang w:val="nb-NO"/>
        </w:rPr>
      </w:pPr>
      <w:r w:rsidRPr="0005617E">
        <w:rPr>
          <w:lang w:val="nb-NO"/>
        </w:rPr>
        <w:t>Tỷ suất Lợi nhuận trước thuế thu nhập doanh nghiệp/Tổng tài sản bình quân chung của các DNNN năm 2017 và năm 2018 là 8%, năm 2019 tỷ lệ này là 9%, năm 2020 tỷ lệ này là 8%.</w:t>
      </w:r>
    </w:p>
  </w:footnote>
  <w:footnote w:id="46">
    <w:p w:rsidR="00280322" w:rsidRPr="009A6DB0" w:rsidRDefault="00280322" w:rsidP="00D15FF8">
      <w:pPr>
        <w:pStyle w:val="FootnoteText"/>
      </w:pPr>
      <w:r w:rsidRPr="0005617E">
        <w:rPr>
          <w:rStyle w:val="FootnoteReference"/>
          <w:b/>
        </w:rPr>
        <w:footnoteRef/>
      </w:r>
      <w:r w:rsidRPr="0005617E">
        <w:t xml:space="preserve"> </w:t>
      </w:r>
      <w:r w:rsidRPr="0005617E">
        <w:rPr>
          <w:lang w:val="nb-NO"/>
        </w:rPr>
        <w:t>Nợ khó đòi năm 2019 tăng 46% so với năm 2018, năm 2020 tăng 114% so với năm 2019. Trong khi đó, dự phòng nợ khó đòi bố trí năm 2019 giảm 9% so với năm 2018 và cơ bản không đổi trong năm 2020.</w:t>
      </w:r>
    </w:p>
  </w:footnote>
  <w:footnote w:id="47">
    <w:p w:rsidR="00280322" w:rsidRPr="009A6DB0" w:rsidRDefault="00280322" w:rsidP="00D15FF8">
      <w:pPr>
        <w:pStyle w:val="FootnoteText"/>
        <w:rPr>
          <w:lang w:val="vi-VN"/>
        </w:rPr>
      </w:pPr>
      <w:r w:rsidRPr="009A6DB0">
        <w:rPr>
          <w:rStyle w:val="FootnoteReference"/>
          <w:b/>
        </w:rPr>
        <w:footnoteRef/>
      </w:r>
      <w:r w:rsidRPr="009A6DB0">
        <w:rPr>
          <w:lang w:val="vi-VN"/>
        </w:rPr>
        <w:t xml:space="preserve"> Tính đến hết ngày 31 tháng 12 năm 2020.</w:t>
      </w:r>
    </w:p>
  </w:footnote>
  <w:footnote w:id="48">
    <w:p w:rsidR="00280322" w:rsidRPr="009A6DB0" w:rsidRDefault="00280322" w:rsidP="00D15FF8">
      <w:pPr>
        <w:pStyle w:val="FootnoteText"/>
        <w:rPr>
          <w:lang w:val="it-IT"/>
        </w:rPr>
      </w:pPr>
      <w:r w:rsidRPr="009A6DB0">
        <w:rPr>
          <w:rStyle w:val="FootnoteReference"/>
          <w:b/>
        </w:rPr>
        <w:footnoteRef/>
      </w:r>
      <w:r w:rsidRPr="009A6DB0">
        <w:rPr>
          <w:b/>
          <w:lang w:val="it-IT"/>
        </w:rPr>
        <w:t xml:space="preserve"> </w:t>
      </w:r>
      <w:r w:rsidRPr="009A6DB0">
        <w:rPr>
          <w:lang w:val="it-IT"/>
        </w:rPr>
        <w:t>Nguồn số liệu: Báo cáo tổng kết thực hiện Chương trình tổng thể cải cách hành chính nhà nước giai đoạn 2021-2030 gửi kèm Công văn số 686/VP-CCHC ngày 23/10/2020 của Văn phòng Chính phủ.</w:t>
      </w:r>
    </w:p>
  </w:footnote>
  <w:footnote w:id="49">
    <w:p w:rsidR="00280322" w:rsidRPr="009A6DB0" w:rsidRDefault="00280322" w:rsidP="00D15FF8">
      <w:pPr>
        <w:pStyle w:val="FootnoteText"/>
        <w:rPr>
          <w:lang w:val="es-CL"/>
        </w:rPr>
      </w:pPr>
      <w:r w:rsidRPr="009A6DB0">
        <w:rPr>
          <w:rStyle w:val="FootnoteReference"/>
          <w:b/>
        </w:rPr>
        <w:footnoteRef/>
      </w:r>
      <w:r w:rsidRPr="009A6DB0">
        <w:rPr>
          <w:lang w:val="es-CL"/>
        </w:rPr>
        <w:t xml:space="preserve"> Như: Quỹ hỗ trợ nông dân, Quỹ phát triển doanh nghiệp nhỏ và vừa, Quỹ phát triển khoa học công nghệ quốc gia, Quỹ đầu tư phát triển…</w:t>
      </w:r>
    </w:p>
  </w:footnote>
  <w:footnote w:id="50">
    <w:p w:rsidR="00280322" w:rsidRPr="009A6DB0" w:rsidRDefault="00280322" w:rsidP="00D15FF8">
      <w:pPr>
        <w:pStyle w:val="FootnoteText"/>
        <w:rPr>
          <w:lang w:val="es-CL"/>
        </w:rPr>
      </w:pPr>
      <w:r w:rsidRPr="009A6DB0">
        <w:rPr>
          <w:rStyle w:val="FootnoteReference"/>
          <w:b/>
        </w:rPr>
        <w:footnoteRef/>
      </w:r>
      <w:r w:rsidRPr="009A6DB0">
        <w:rPr>
          <w:lang w:val="es-CL"/>
        </w:rPr>
        <w:t xml:space="preserve"> N</w:t>
      </w:r>
      <w:r w:rsidRPr="009A6DB0">
        <w:rPr>
          <w:lang w:val="es-ES_tradnl"/>
        </w:rPr>
        <w:t>hư: sáp nhập 2 quỹ bảo lãnh tín dụng và đầu tư phát triển; sáp nhập 3 quỹ bảo vệ môi trường, bảo vệ và phát triển rừng, phát triển đất...</w:t>
      </w:r>
    </w:p>
  </w:footnote>
  <w:footnote w:id="51">
    <w:p w:rsidR="00280322" w:rsidRPr="009A6DB0" w:rsidRDefault="00280322" w:rsidP="00D15FF8">
      <w:pPr>
        <w:pStyle w:val="FootnoteText"/>
        <w:rPr>
          <w:b/>
        </w:rPr>
      </w:pPr>
      <w:r w:rsidRPr="009A6DB0">
        <w:rPr>
          <w:rStyle w:val="FootnoteReference"/>
          <w:b/>
        </w:rPr>
        <w:footnoteRef/>
      </w:r>
      <w:r w:rsidRPr="009A6DB0">
        <w:rPr>
          <w:b/>
        </w:rPr>
        <w:t xml:space="preserve"> </w:t>
      </w:r>
      <w:r w:rsidRPr="009A6DB0">
        <w:t>Trong giai đoạn 2010 - 2015, HFIC đã tài trợ tín dụng cho 136 dự án với tổng mức đầu tư 12,621 nghìn tỷ đồng, trong đó vốn HFIC tài trợ là 5,9 nghìn tỷ đồng cho 50 dự án hạ tầng kỹ thuật, 31 dự án y tế, 55 dự án giáo dục; đầu tư xây dựng trường mầm non công lập trên điạ bàn với quy mô vốn HFIC tham gia là 01 nghìn tỷ đồng; Dự án chống ngập (hồ điều tiết Khánh Hội) khoảng 0,6 nghìn tỷ đồng.</w:t>
      </w:r>
    </w:p>
  </w:footnote>
  <w:footnote w:id="52">
    <w:p w:rsidR="00280322" w:rsidRPr="009A6DB0" w:rsidRDefault="00280322" w:rsidP="00D15FF8">
      <w:pPr>
        <w:pStyle w:val="FootnoteText"/>
      </w:pPr>
      <w:r w:rsidRPr="009A6DB0">
        <w:rPr>
          <w:rStyle w:val="FootnoteReference"/>
          <w:b/>
        </w:rPr>
        <w:footnoteRef/>
      </w:r>
      <w:r w:rsidRPr="009A6DB0">
        <w:t xml:space="preserve"> Bao gồm: Công ty TNHH MTV Dịch vụ Xuất khẩu Lao động và Chuyên gia, Công ty TNHH MTV Công trình Cầu phà, Công ty TNHH MTV Công trình Giao thông Sài Gòn, Công ty TNHH MTV Chiếu sáng công cộng, Công ty TNHH MTV Xuất nhập khẩu và Đầu tư Chợ Lớn, Công ty TNHH MTV Dệt may Gia Định.</w:t>
      </w:r>
    </w:p>
  </w:footnote>
  <w:footnote w:id="53">
    <w:p w:rsidR="00280322" w:rsidRPr="009A6DB0" w:rsidRDefault="00280322" w:rsidP="00D15FF8">
      <w:pPr>
        <w:pStyle w:val="FootnoteText"/>
      </w:pPr>
      <w:r w:rsidRPr="009A6DB0">
        <w:rPr>
          <w:rStyle w:val="FootnoteReference"/>
          <w:b/>
        </w:rPr>
        <w:footnoteRef/>
      </w:r>
      <w:r w:rsidRPr="009A6DB0">
        <w:t xml:space="preserve"> Tổng vốn điều lệ của 06 doanh nghiệp HFIC tiếp nhận là 0,824 nghìn tỷ đồng; sau khi xác định giá trị doanh nghiệp để cổ phần hóa, tổng giá trị vốn nhà nước tại các doanh nghiệp là 2,041 nghìn tỷ đồng.</w:t>
      </w:r>
    </w:p>
  </w:footnote>
  <w:footnote w:id="54">
    <w:p w:rsidR="00280322" w:rsidRPr="009A6DB0" w:rsidRDefault="00280322" w:rsidP="00D15FF8">
      <w:pPr>
        <w:pStyle w:val="FootnoteText"/>
        <w:rPr>
          <w:spacing w:val="-2"/>
          <w:lang w:val="nl-NL"/>
        </w:rPr>
      </w:pPr>
      <w:r w:rsidRPr="009A6DB0">
        <w:rPr>
          <w:rStyle w:val="FootnoteReference"/>
          <w:b/>
        </w:rPr>
        <w:footnoteRef/>
      </w:r>
      <w:r w:rsidRPr="009A6DB0">
        <w:rPr>
          <w:b/>
          <w:lang w:val="it-IT"/>
        </w:rPr>
        <w:t xml:space="preserve"> </w:t>
      </w:r>
      <w:r w:rsidRPr="009A6DB0">
        <w:rPr>
          <w:lang w:val="it-IT"/>
        </w:rPr>
        <w:t xml:space="preserve">Ví dụ: Luật NNSN và Luật Đầu tư công chưa đồng bộ (Luật NSNN 2015 quy định 13 lĩnh vực chi NSNN, áp dụng đối với cả chi đầu tư, chi thường xuyên, nhưng Luật Đầu tư công, Nghị quyết 1023/NQ-UBTHQH13 về nguyên tắc, tiêu chí, định mức phân bổ vốn đầu tư công giai đoạn 2016 - 2020 quy định 20 ngành, lĩnh vực). </w:t>
      </w:r>
    </w:p>
  </w:footnote>
  <w:footnote w:id="55">
    <w:p w:rsidR="00280322" w:rsidRPr="009A6DB0" w:rsidRDefault="00280322" w:rsidP="00D15FF8">
      <w:pPr>
        <w:pStyle w:val="FootnoteText"/>
        <w:rPr>
          <w:lang w:val="vi-VN"/>
        </w:rPr>
      </w:pPr>
      <w:r w:rsidRPr="009A6DB0">
        <w:rPr>
          <w:rStyle w:val="FootnoteReference"/>
          <w:b/>
        </w:rPr>
        <w:footnoteRef/>
      </w:r>
      <w:r w:rsidRPr="009A6DB0">
        <w:rPr>
          <w:lang w:val="vi-VN"/>
        </w:rPr>
        <w:t xml:space="preserve"> Tháng 4 năm 2017 mới thực hiện giao kế hoạch đầu tư công trung hạn 2016 - 2020 đợt 1.</w:t>
      </w:r>
    </w:p>
  </w:footnote>
  <w:footnote w:id="56">
    <w:p w:rsidR="00280322" w:rsidRPr="009A6DB0" w:rsidRDefault="00280322" w:rsidP="00D15FF8">
      <w:pPr>
        <w:pStyle w:val="FootnoteText"/>
        <w:rPr>
          <w:lang w:val="vi-VN"/>
        </w:rPr>
      </w:pPr>
      <w:r w:rsidRPr="009A6DB0">
        <w:rPr>
          <w:rStyle w:val="FootnoteReference"/>
          <w:b/>
        </w:rPr>
        <w:footnoteRef/>
      </w:r>
      <w:r w:rsidRPr="009A6DB0">
        <w:rPr>
          <w:lang w:val="vi-VN"/>
        </w:rPr>
        <w:t xml:space="preserve"> Trong đó riêng năm 2020, tỷ lệ giải ngân đạt cao nhất, đạt 97,46%. Tỷ lệ giải ngân các năm: 2016 đạt 88,27%; 2017 đạt 81,69%; 2018 đạt 71,69%; 2019 đạt 78,68%.</w:t>
      </w:r>
    </w:p>
  </w:footnote>
  <w:footnote w:id="57">
    <w:p w:rsidR="00280322" w:rsidRPr="009A6DB0" w:rsidRDefault="00280322" w:rsidP="00D15FF8">
      <w:pPr>
        <w:pStyle w:val="FootnoteText"/>
        <w:rPr>
          <w:lang w:val="es-CL"/>
        </w:rPr>
      </w:pPr>
      <w:r w:rsidRPr="009A6DB0">
        <w:rPr>
          <w:rStyle w:val="FootnoteReference"/>
          <w:b/>
        </w:rPr>
        <w:footnoteRef/>
      </w:r>
      <w:r w:rsidRPr="009A6DB0">
        <w:rPr>
          <w:b/>
          <w:lang w:val="es-CL"/>
        </w:rPr>
        <w:t xml:space="preserve"> </w:t>
      </w:r>
      <w:r w:rsidRPr="009A6DB0">
        <w:rPr>
          <w:lang w:val="es-CL"/>
        </w:rPr>
        <w:t>Như: Quỹ đầu tư phát triển đất, Quỹ phát triển doanh nghiệp nhỏ và vừa...</w:t>
      </w:r>
    </w:p>
  </w:footnote>
  <w:footnote w:id="58">
    <w:p w:rsidR="00280322" w:rsidRPr="009A6DB0" w:rsidRDefault="00280322" w:rsidP="00D15FF8">
      <w:pPr>
        <w:pStyle w:val="FootnoteText"/>
        <w:rPr>
          <w:lang w:val="vi-VN"/>
        </w:rPr>
      </w:pPr>
      <w:r w:rsidRPr="009A6DB0">
        <w:rPr>
          <w:rStyle w:val="FootnoteReference"/>
          <w:b/>
        </w:rPr>
        <w:footnoteRef/>
      </w:r>
      <w:r w:rsidRPr="009A6DB0">
        <w:rPr>
          <w:lang w:val="vi-VN"/>
        </w:rPr>
        <w:t xml:space="preserve"> Theo cách tính của IMF, bội chi bình quân giai đoạn 2016 - 2020 của Nhật Bản là 3,04%GDP, Hàn Quốc là 1,27%GDP, Trung Quốc là 4,97%GDP, Malaysia là 2,8%GDP, Thái Lan là 0,2%GDP, Việt Nam là 4,32%GDP (sau điều chỉnh quy mô GDP sẽ vào khoảng 3,46%GDP).</w:t>
      </w:r>
    </w:p>
  </w:footnote>
  <w:footnote w:id="59">
    <w:p w:rsidR="00280322" w:rsidRPr="009A6DB0" w:rsidRDefault="00280322" w:rsidP="00D15FF8">
      <w:pPr>
        <w:pStyle w:val="FootnoteText"/>
      </w:pPr>
      <w:r w:rsidRPr="009A6DB0">
        <w:rPr>
          <w:rStyle w:val="FootnoteReference"/>
          <w:b/>
        </w:rPr>
        <w:footnoteRef/>
      </w:r>
      <w:r w:rsidRPr="009A6DB0">
        <w:t xml:space="preserve"> </w:t>
      </w:r>
      <w:proofErr w:type="gramStart"/>
      <w:r w:rsidRPr="009A6DB0">
        <w:t>IMF, Báo cáo triển vọng kinh tế thế giới (World Economic Outlook), tháng 7/2021.</w:t>
      </w:r>
      <w:proofErr w:type="gramEnd"/>
    </w:p>
  </w:footnote>
  <w:footnote w:id="60">
    <w:p w:rsidR="00280322" w:rsidRPr="009A6DB0" w:rsidRDefault="00280322" w:rsidP="00D15FF8">
      <w:pPr>
        <w:pStyle w:val="FootnoteText"/>
        <w:rPr>
          <w:lang w:val="vi-VN"/>
        </w:rPr>
      </w:pPr>
      <w:r w:rsidRPr="009A6DB0">
        <w:rPr>
          <w:rStyle w:val="FootnoteReference"/>
          <w:b/>
        </w:rPr>
        <w:footnoteRef/>
      </w:r>
      <w:r w:rsidRPr="009A6DB0">
        <w:t xml:space="preserve"> </w:t>
      </w:r>
      <w:r w:rsidRPr="009A6DB0">
        <w:rPr>
          <w:lang w:val="vi-VN"/>
        </w:rPr>
        <w:t>WB, Báo cáo triển vọng kinh tế toàn cầu (Global Economic Prospects), tháng 6/2021.</w:t>
      </w:r>
    </w:p>
  </w:footnote>
  <w:footnote w:id="61">
    <w:p w:rsidR="00280322" w:rsidRPr="009A6DB0" w:rsidRDefault="00280322" w:rsidP="00D15FF8">
      <w:pPr>
        <w:pStyle w:val="FootnoteText"/>
        <w:rPr>
          <w:lang w:val="it-IT"/>
        </w:rPr>
      </w:pPr>
      <w:r w:rsidRPr="009A6DB0">
        <w:rPr>
          <w:rStyle w:val="FootnoteReference"/>
          <w:b/>
        </w:rPr>
        <w:footnoteRef/>
      </w:r>
      <w:r w:rsidRPr="009A6DB0">
        <w:rPr>
          <w:lang w:val="it-IT"/>
        </w:rPr>
        <w:t xml:space="preserve"> </w:t>
      </w:r>
      <w:r w:rsidRPr="009A6DB0">
        <w:rPr>
          <w:lang w:val="sv-SE"/>
        </w:rPr>
        <w:t>Tương ứng khoảng 4,7%GDP chưa điều chỉnh.</w:t>
      </w:r>
    </w:p>
  </w:footnote>
  <w:footnote w:id="62">
    <w:p w:rsidR="00280322" w:rsidRPr="009A6DB0" w:rsidRDefault="00280322" w:rsidP="00D15FF8">
      <w:pPr>
        <w:pStyle w:val="FootnoteText"/>
      </w:pPr>
      <w:r w:rsidRPr="009A6DB0">
        <w:rPr>
          <w:rStyle w:val="FootnoteReference"/>
          <w:b/>
        </w:rPr>
        <w:footnoteRef/>
      </w:r>
      <w:r w:rsidRPr="009A6DB0">
        <w:rPr>
          <w:b/>
        </w:rPr>
        <w:t xml:space="preserve"> </w:t>
      </w:r>
      <w:r w:rsidRPr="009A6DB0">
        <w:rPr>
          <w:lang w:val="sv-SE"/>
        </w:rPr>
        <w:t>Tương ứng khoảng 60,4 và 55,8%GDP chưa điều chỉnh.</w:t>
      </w:r>
    </w:p>
  </w:footnote>
  <w:footnote w:id="63">
    <w:p w:rsidR="00280322" w:rsidRPr="009A6DB0" w:rsidRDefault="00280322" w:rsidP="00D15FF8">
      <w:pPr>
        <w:pStyle w:val="FootnoteText"/>
        <w:rPr>
          <w:lang w:val="it-IT"/>
        </w:rPr>
      </w:pPr>
      <w:r w:rsidRPr="009A6DB0">
        <w:rPr>
          <w:rStyle w:val="FootnoteReference"/>
          <w:b/>
        </w:rPr>
        <w:footnoteRef/>
      </w:r>
      <w:r w:rsidRPr="009A6DB0">
        <w:rPr>
          <w:b/>
          <w:lang w:val="it-IT"/>
        </w:rPr>
        <w:t xml:space="preserve"> </w:t>
      </w:r>
      <w:r w:rsidRPr="009A6DB0">
        <w:rPr>
          <w:lang w:val="it-IT"/>
        </w:rPr>
        <w:t>Tổng kim ngạch xuất nhập khẩu tương đương khoảng 200%GDP; 8 tháng đầu năm 2020, khu vực có vốn đầu tư nước ngoài chiếm 65% kim ngạch xuất khẩu và 56% kim ngạch nhập khẩu.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22" w:rsidRDefault="00280322" w:rsidP="00AD5D37">
    <w:pPr>
      <w:pStyle w:val="Header"/>
      <w:pBdr>
        <w:bottom w:val="dotted" w:sz="4" w:space="0" w:color="FFFFFF"/>
      </w:pBdr>
    </w:pPr>
  </w:p>
  <w:p w:rsidR="00280322" w:rsidRDefault="00280322" w:rsidP="00AD5D37">
    <w:pPr>
      <w:pStyle w:val="Header"/>
      <w:pBdr>
        <w:bottom w:val="dotted" w:sz="4" w:space="0" w:color="FFFFFF"/>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74647"/>
      <w:docPartObj>
        <w:docPartGallery w:val="Page Numbers (Top of Page)"/>
        <w:docPartUnique/>
      </w:docPartObj>
    </w:sdtPr>
    <w:sdtContent>
      <w:p w:rsidR="00280322" w:rsidRDefault="00280322" w:rsidP="00085BE7">
        <w:pPr>
          <w:pStyle w:val="Header"/>
          <w:pBdr>
            <w:bottom w:val="dotted" w:sz="4" w:space="0" w:color="FFFFFF"/>
          </w:pBdr>
          <w:ind w:firstLine="0"/>
          <w:jc w:val="center"/>
        </w:pPr>
        <w:fldSimple w:instr=" PAGE   \* MERGEFORMAT ">
          <w:r>
            <w:rPr>
              <w:noProof/>
            </w:rPr>
            <w:t>3</w:t>
          </w:r>
        </w:fldSimple>
      </w:p>
    </w:sdtContent>
  </w:sdt>
  <w:p w:rsidR="00280322" w:rsidRDefault="00280322" w:rsidP="00AD5D37">
    <w:pPr>
      <w:pStyle w:val="Header"/>
      <w:pBdr>
        <w:bottom w:val="dotted" w:sz="4" w:space="0" w:color="FFFFFF"/>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74648"/>
      <w:docPartObj>
        <w:docPartGallery w:val="Page Numbers (Top of Page)"/>
        <w:docPartUnique/>
      </w:docPartObj>
    </w:sdtPr>
    <w:sdtContent>
      <w:p w:rsidR="00280322" w:rsidRDefault="00280322" w:rsidP="009050E8">
        <w:pPr>
          <w:pStyle w:val="Header"/>
          <w:pBdr>
            <w:bottom w:val="dotted" w:sz="4" w:space="0" w:color="FFFFFF"/>
          </w:pBdr>
          <w:ind w:firstLine="0"/>
          <w:jc w:val="center"/>
        </w:pPr>
        <w:fldSimple w:instr=" PAGE   \* MERGEFORMAT ">
          <w:r>
            <w:rPr>
              <w:noProof/>
            </w:rPr>
            <w:t>1</w:t>
          </w:r>
        </w:fldSimple>
      </w:p>
    </w:sdtContent>
  </w:sdt>
  <w:p w:rsidR="00280322" w:rsidRDefault="00280322" w:rsidP="00AD5D37">
    <w:pPr>
      <w:pStyle w:val="Header"/>
      <w:pBdr>
        <w:bottom w:val="dotted" w:sz="4" w:space="0" w:color="FFFFFF"/>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3130"/>
    <w:multiLevelType w:val="hybridMultilevel"/>
    <w:tmpl w:val="50B6C498"/>
    <w:lvl w:ilvl="0" w:tplc="60F88F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E64A16"/>
    <w:multiLevelType w:val="hybridMultilevel"/>
    <w:tmpl w:val="F0F6CF84"/>
    <w:lvl w:ilvl="0" w:tplc="D0526DB4">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D44509"/>
    <w:multiLevelType w:val="hybridMultilevel"/>
    <w:tmpl w:val="665A18B6"/>
    <w:lvl w:ilvl="0" w:tplc="CB983040">
      <w:start w:val="1"/>
      <w:numFmt w:val="decimal"/>
      <w:lvlText w:val="%1."/>
      <w:lvlJc w:val="left"/>
      <w:pPr>
        <w:ind w:left="1467" w:hanging="900"/>
      </w:pPr>
      <w:rPr>
        <w:rFonts w:ascii="Helvetica" w:hAnsi="Helvetica" w:cs="Helvetica" w:hint="default"/>
        <w:b/>
        <w:color w:val="333333"/>
        <w:sz w:val="27"/>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16107C1"/>
    <w:multiLevelType w:val="hybridMultilevel"/>
    <w:tmpl w:val="C666C3FE"/>
    <w:lvl w:ilvl="0" w:tplc="300A4822">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37811B49"/>
    <w:multiLevelType w:val="hybridMultilevel"/>
    <w:tmpl w:val="F268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476AF"/>
    <w:multiLevelType w:val="multilevel"/>
    <w:tmpl w:val="C2864874"/>
    <w:lvl w:ilvl="0">
      <w:start w:val="1"/>
      <w:numFmt w:val="decimal"/>
      <w:lvlText w:val="%1."/>
      <w:lvlJc w:val="left"/>
      <w:pPr>
        <w:ind w:left="1070" w:hanging="360"/>
      </w:pPr>
      <w:rPr>
        <w:rFonts w:hint="default"/>
      </w:rPr>
    </w:lvl>
    <w:lvl w:ilvl="1">
      <w:start w:val="1"/>
      <w:numFmt w:val="decimal"/>
      <w:isLgl/>
      <w:lvlText w:val="%1.%2."/>
      <w:lvlJc w:val="left"/>
      <w:pPr>
        <w:ind w:left="4548"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88" w:hanging="108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4168" w:hanging="1440"/>
      </w:pPr>
      <w:rPr>
        <w:rFonts w:hint="default"/>
      </w:rPr>
    </w:lvl>
    <w:lvl w:ilvl="6">
      <w:start w:val="1"/>
      <w:numFmt w:val="decimal"/>
      <w:isLgl/>
      <w:lvlText w:val="%1.%2.%3.%4.%5.%6.%7."/>
      <w:lvlJc w:val="left"/>
      <w:pPr>
        <w:ind w:left="4528" w:hanging="1440"/>
      </w:pPr>
      <w:rPr>
        <w:rFonts w:hint="default"/>
      </w:rPr>
    </w:lvl>
    <w:lvl w:ilvl="7">
      <w:start w:val="1"/>
      <w:numFmt w:val="decimal"/>
      <w:isLgl/>
      <w:lvlText w:val="%1.%2.%3.%4.%5.%6.%7.%8."/>
      <w:lvlJc w:val="left"/>
      <w:pPr>
        <w:ind w:left="5248" w:hanging="1800"/>
      </w:pPr>
      <w:rPr>
        <w:rFonts w:hint="default"/>
      </w:rPr>
    </w:lvl>
    <w:lvl w:ilvl="8">
      <w:start w:val="1"/>
      <w:numFmt w:val="decimal"/>
      <w:isLgl/>
      <w:lvlText w:val="%1.%2.%3.%4.%5.%6.%7.%8.%9."/>
      <w:lvlJc w:val="left"/>
      <w:pPr>
        <w:ind w:left="5608" w:hanging="1800"/>
      </w:pPr>
      <w:rPr>
        <w:rFonts w:hint="default"/>
      </w:rPr>
    </w:lvl>
  </w:abstractNum>
  <w:abstractNum w:abstractNumId="6">
    <w:nsid w:val="3C01200C"/>
    <w:multiLevelType w:val="hybridMultilevel"/>
    <w:tmpl w:val="F268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36180C"/>
    <w:multiLevelType w:val="hybridMultilevel"/>
    <w:tmpl w:val="1316A028"/>
    <w:lvl w:ilvl="0" w:tplc="95008A24">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41F512CF"/>
    <w:multiLevelType w:val="hybridMultilevel"/>
    <w:tmpl w:val="8FF65014"/>
    <w:lvl w:ilvl="0" w:tplc="9404C9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EB5FC0"/>
    <w:multiLevelType w:val="multilevel"/>
    <w:tmpl w:val="D020014A"/>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0">
    <w:nsid w:val="73E44A32"/>
    <w:multiLevelType w:val="hybridMultilevel"/>
    <w:tmpl w:val="F268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DF4DE0"/>
    <w:multiLevelType w:val="hybridMultilevel"/>
    <w:tmpl w:val="840A152A"/>
    <w:lvl w:ilvl="0" w:tplc="CCDCB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261635"/>
    <w:multiLevelType w:val="hybridMultilevel"/>
    <w:tmpl w:val="6E00578E"/>
    <w:lvl w:ilvl="0" w:tplc="C01C95AC">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768B0A2F"/>
    <w:multiLevelType w:val="multilevel"/>
    <w:tmpl w:val="CCD2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EF2BAF"/>
    <w:multiLevelType w:val="hybridMultilevel"/>
    <w:tmpl w:val="C36C926E"/>
    <w:lvl w:ilvl="0" w:tplc="FC1EBABE">
      <w:start w:val="1"/>
      <w:numFmt w:val="upperRoman"/>
      <w:lvlText w:val="%1."/>
      <w:lvlJc w:val="left"/>
      <w:pPr>
        <w:ind w:left="7383"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5"/>
  </w:num>
  <w:num w:numId="4">
    <w:abstractNumId w:val="11"/>
  </w:num>
  <w:num w:numId="5">
    <w:abstractNumId w:val="9"/>
  </w:num>
  <w:num w:numId="6">
    <w:abstractNumId w:val="0"/>
  </w:num>
  <w:num w:numId="7">
    <w:abstractNumId w:val="8"/>
  </w:num>
  <w:num w:numId="8">
    <w:abstractNumId w:val="12"/>
  </w:num>
  <w:num w:numId="9">
    <w:abstractNumId w:val="3"/>
  </w:num>
  <w:num w:numId="10">
    <w:abstractNumId w:val="2"/>
  </w:num>
  <w:num w:numId="11">
    <w:abstractNumId w:val="4"/>
  </w:num>
  <w:num w:numId="12">
    <w:abstractNumId w:val="10"/>
  </w:num>
  <w:num w:numId="13">
    <w:abstractNumId w:val="1"/>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drawingGridHorizontalSpacing w:val="140"/>
  <w:displayHorizontalDrawingGridEvery w:val="2"/>
  <w:characterSpacingControl w:val="doNotCompress"/>
  <w:hdrShapeDefaults>
    <o:shapedefaults v:ext="edit" spidmax="122881"/>
  </w:hdrShapeDefaults>
  <w:footnotePr>
    <w:footnote w:id="0"/>
    <w:footnote w:id="1"/>
    <w:footnote w:id="2"/>
  </w:footnotePr>
  <w:endnotePr>
    <w:endnote w:id="0"/>
    <w:endnote w:id="1"/>
  </w:endnotePr>
  <w:compat/>
  <w:rsids>
    <w:rsidRoot w:val="00B34D5C"/>
    <w:rsid w:val="000006C5"/>
    <w:rsid w:val="00000CAB"/>
    <w:rsid w:val="00001074"/>
    <w:rsid w:val="000013EC"/>
    <w:rsid w:val="00001DEB"/>
    <w:rsid w:val="00002A39"/>
    <w:rsid w:val="00002D11"/>
    <w:rsid w:val="00003EBF"/>
    <w:rsid w:val="00004FC3"/>
    <w:rsid w:val="00005076"/>
    <w:rsid w:val="000060AA"/>
    <w:rsid w:val="000066AB"/>
    <w:rsid w:val="000066F9"/>
    <w:rsid w:val="000074EE"/>
    <w:rsid w:val="00010A4B"/>
    <w:rsid w:val="0001165C"/>
    <w:rsid w:val="000116BD"/>
    <w:rsid w:val="00011C3C"/>
    <w:rsid w:val="00012A2A"/>
    <w:rsid w:val="000150D5"/>
    <w:rsid w:val="00016F80"/>
    <w:rsid w:val="000172BA"/>
    <w:rsid w:val="00017E48"/>
    <w:rsid w:val="00020066"/>
    <w:rsid w:val="00020F52"/>
    <w:rsid w:val="00021029"/>
    <w:rsid w:val="00021823"/>
    <w:rsid w:val="00021946"/>
    <w:rsid w:val="00023399"/>
    <w:rsid w:val="00023A76"/>
    <w:rsid w:val="000248A4"/>
    <w:rsid w:val="000249A8"/>
    <w:rsid w:val="000257BA"/>
    <w:rsid w:val="000259D5"/>
    <w:rsid w:val="00026004"/>
    <w:rsid w:val="00026350"/>
    <w:rsid w:val="000266DE"/>
    <w:rsid w:val="0002705F"/>
    <w:rsid w:val="00027E35"/>
    <w:rsid w:val="000305D3"/>
    <w:rsid w:val="000314CB"/>
    <w:rsid w:val="0003168F"/>
    <w:rsid w:val="000331A6"/>
    <w:rsid w:val="0003478A"/>
    <w:rsid w:val="0003495A"/>
    <w:rsid w:val="000351AA"/>
    <w:rsid w:val="00035DDF"/>
    <w:rsid w:val="00035F7F"/>
    <w:rsid w:val="0003607E"/>
    <w:rsid w:val="00036213"/>
    <w:rsid w:val="00036DC9"/>
    <w:rsid w:val="0004044D"/>
    <w:rsid w:val="00041347"/>
    <w:rsid w:val="0004160C"/>
    <w:rsid w:val="00044D46"/>
    <w:rsid w:val="00045522"/>
    <w:rsid w:val="00045FF0"/>
    <w:rsid w:val="00046186"/>
    <w:rsid w:val="000466F7"/>
    <w:rsid w:val="000469CC"/>
    <w:rsid w:val="00046E27"/>
    <w:rsid w:val="00050446"/>
    <w:rsid w:val="00051723"/>
    <w:rsid w:val="0005204E"/>
    <w:rsid w:val="000526EC"/>
    <w:rsid w:val="0005374E"/>
    <w:rsid w:val="00054906"/>
    <w:rsid w:val="00054FD3"/>
    <w:rsid w:val="0005503A"/>
    <w:rsid w:val="000560C2"/>
    <w:rsid w:val="0005617E"/>
    <w:rsid w:val="00057A1E"/>
    <w:rsid w:val="00057BE8"/>
    <w:rsid w:val="00060AD4"/>
    <w:rsid w:val="000614B6"/>
    <w:rsid w:val="0006160F"/>
    <w:rsid w:val="00061B92"/>
    <w:rsid w:val="00062397"/>
    <w:rsid w:val="00062A60"/>
    <w:rsid w:val="0006309E"/>
    <w:rsid w:val="00065F57"/>
    <w:rsid w:val="00067BFB"/>
    <w:rsid w:val="000713AA"/>
    <w:rsid w:val="000719DC"/>
    <w:rsid w:val="00072236"/>
    <w:rsid w:val="00073C0A"/>
    <w:rsid w:val="000742D2"/>
    <w:rsid w:val="00074741"/>
    <w:rsid w:val="00074870"/>
    <w:rsid w:val="0007525C"/>
    <w:rsid w:val="000763F8"/>
    <w:rsid w:val="00076C28"/>
    <w:rsid w:val="00076E52"/>
    <w:rsid w:val="00077AB7"/>
    <w:rsid w:val="0008064B"/>
    <w:rsid w:val="00081FE5"/>
    <w:rsid w:val="00082400"/>
    <w:rsid w:val="0008308C"/>
    <w:rsid w:val="0008367C"/>
    <w:rsid w:val="000856F0"/>
    <w:rsid w:val="00085BE7"/>
    <w:rsid w:val="000902EC"/>
    <w:rsid w:val="00090CAC"/>
    <w:rsid w:val="00091FC2"/>
    <w:rsid w:val="00092843"/>
    <w:rsid w:val="00093259"/>
    <w:rsid w:val="00093CCD"/>
    <w:rsid w:val="00094BD0"/>
    <w:rsid w:val="0009618E"/>
    <w:rsid w:val="0009641F"/>
    <w:rsid w:val="00096AD5"/>
    <w:rsid w:val="00096DF5"/>
    <w:rsid w:val="00097885"/>
    <w:rsid w:val="00097D83"/>
    <w:rsid w:val="000A01D3"/>
    <w:rsid w:val="000A1BA1"/>
    <w:rsid w:val="000A2EB2"/>
    <w:rsid w:val="000A30CF"/>
    <w:rsid w:val="000A5285"/>
    <w:rsid w:val="000A5F68"/>
    <w:rsid w:val="000A6D29"/>
    <w:rsid w:val="000A783A"/>
    <w:rsid w:val="000A7C41"/>
    <w:rsid w:val="000B0B2B"/>
    <w:rsid w:val="000B25D3"/>
    <w:rsid w:val="000B2AB4"/>
    <w:rsid w:val="000B3E3C"/>
    <w:rsid w:val="000B57F1"/>
    <w:rsid w:val="000B7F3E"/>
    <w:rsid w:val="000C1171"/>
    <w:rsid w:val="000C2991"/>
    <w:rsid w:val="000C344D"/>
    <w:rsid w:val="000C36C4"/>
    <w:rsid w:val="000C39D2"/>
    <w:rsid w:val="000C4969"/>
    <w:rsid w:val="000D0252"/>
    <w:rsid w:val="000D0C4D"/>
    <w:rsid w:val="000D1410"/>
    <w:rsid w:val="000D14E9"/>
    <w:rsid w:val="000D17CC"/>
    <w:rsid w:val="000D1A9F"/>
    <w:rsid w:val="000D285D"/>
    <w:rsid w:val="000D2FBE"/>
    <w:rsid w:val="000D506F"/>
    <w:rsid w:val="000D5378"/>
    <w:rsid w:val="000D751E"/>
    <w:rsid w:val="000D781F"/>
    <w:rsid w:val="000D7A40"/>
    <w:rsid w:val="000D7DA0"/>
    <w:rsid w:val="000E150D"/>
    <w:rsid w:val="000E3490"/>
    <w:rsid w:val="000E34DF"/>
    <w:rsid w:val="000E3971"/>
    <w:rsid w:val="000E3EB9"/>
    <w:rsid w:val="000E4421"/>
    <w:rsid w:val="000E54D3"/>
    <w:rsid w:val="000E59C9"/>
    <w:rsid w:val="000E5F13"/>
    <w:rsid w:val="000E655B"/>
    <w:rsid w:val="000E6656"/>
    <w:rsid w:val="000F038F"/>
    <w:rsid w:val="000F09D1"/>
    <w:rsid w:val="000F0B34"/>
    <w:rsid w:val="000F0F14"/>
    <w:rsid w:val="000F163B"/>
    <w:rsid w:val="000F189A"/>
    <w:rsid w:val="000F192B"/>
    <w:rsid w:val="000F1C0C"/>
    <w:rsid w:val="000F46F9"/>
    <w:rsid w:val="000F4CFA"/>
    <w:rsid w:val="000F517F"/>
    <w:rsid w:val="000F5700"/>
    <w:rsid w:val="000F5F36"/>
    <w:rsid w:val="000F6B83"/>
    <w:rsid w:val="000F790E"/>
    <w:rsid w:val="0010096D"/>
    <w:rsid w:val="00102406"/>
    <w:rsid w:val="00102963"/>
    <w:rsid w:val="00103B4F"/>
    <w:rsid w:val="00104564"/>
    <w:rsid w:val="001050B7"/>
    <w:rsid w:val="0010511A"/>
    <w:rsid w:val="00105584"/>
    <w:rsid w:val="00105A97"/>
    <w:rsid w:val="0010678C"/>
    <w:rsid w:val="001067F5"/>
    <w:rsid w:val="001074C1"/>
    <w:rsid w:val="00107D7A"/>
    <w:rsid w:val="001101A1"/>
    <w:rsid w:val="0011025C"/>
    <w:rsid w:val="001103AA"/>
    <w:rsid w:val="00110A6F"/>
    <w:rsid w:val="00111542"/>
    <w:rsid w:val="00112B76"/>
    <w:rsid w:val="001148C8"/>
    <w:rsid w:val="00114FAA"/>
    <w:rsid w:val="0011501E"/>
    <w:rsid w:val="00115100"/>
    <w:rsid w:val="00115279"/>
    <w:rsid w:val="0011545A"/>
    <w:rsid w:val="00115668"/>
    <w:rsid w:val="00116262"/>
    <w:rsid w:val="001168F6"/>
    <w:rsid w:val="001171B8"/>
    <w:rsid w:val="00117594"/>
    <w:rsid w:val="001212B8"/>
    <w:rsid w:val="00121416"/>
    <w:rsid w:val="00125E9C"/>
    <w:rsid w:val="00126B6E"/>
    <w:rsid w:val="001271AA"/>
    <w:rsid w:val="00127316"/>
    <w:rsid w:val="00127C14"/>
    <w:rsid w:val="00130E72"/>
    <w:rsid w:val="00133B51"/>
    <w:rsid w:val="00134BAD"/>
    <w:rsid w:val="00134C04"/>
    <w:rsid w:val="00135044"/>
    <w:rsid w:val="001351AF"/>
    <w:rsid w:val="001358C1"/>
    <w:rsid w:val="001363EB"/>
    <w:rsid w:val="00140F5F"/>
    <w:rsid w:val="00141E4A"/>
    <w:rsid w:val="001437C4"/>
    <w:rsid w:val="001443DF"/>
    <w:rsid w:val="00144453"/>
    <w:rsid w:val="00144A9A"/>
    <w:rsid w:val="00145299"/>
    <w:rsid w:val="001452B7"/>
    <w:rsid w:val="00145A20"/>
    <w:rsid w:val="00146918"/>
    <w:rsid w:val="00146A50"/>
    <w:rsid w:val="00146DFC"/>
    <w:rsid w:val="00147E8C"/>
    <w:rsid w:val="001503E5"/>
    <w:rsid w:val="001523B2"/>
    <w:rsid w:val="00152877"/>
    <w:rsid w:val="00154F72"/>
    <w:rsid w:val="00155B19"/>
    <w:rsid w:val="0015612F"/>
    <w:rsid w:val="00156873"/>
    <w:rsid w:val="001602FD"/>
    <w:rsid w:val="00160475"/>
    <w:rsid w:val="001605E7"/>
    <w:rsid w:val="001606A0"/>
    <w:rsid w:val="0016101C"/>
    <w:rsid w:val="00161092"/>
    <w:rsid w:val="00161D8C"/>
    <w:rsid w:val="00162A14"/>
    <w:rsid w:val="00163527"/>
    <w:rsid w:val="00163F69"/>
    <w:rsid w:val="0016449E"/>
    <w:rsid w:val="001645B0"/>
    <w:rsid w:val="001647B7"/>
    <w:rsid w:val="00164E33"/>
    <w:rsid w:val="00164FE6"/>
    <w:rsid w:val="0016517A"/>
    <w:rsid w:val="00166056"/>
    <w:rsid w:val="001662C1"/>
    <w:rsid w:val="00167017"/>
    <w:rsid w:val="001676BC"/>
    <w:rsid w:val="00170477"/>
    <w:rsid w:val="00171539"/>
    <w:rsid w:val="0017165D"/>
    <w:rsid w:val="00171861"/>
    <w:rsid w:val="00173D47"/>
    <w:rsid w:val="00174161"/>
    <w:rsid w:val="0017417D"/>
    <w:rsid w:val="00175259"/>
    <w:rsid w:val="001755E9"/>
    <w:rsid w:val="001763C6"/>
    <w:rsid w:val="00176513"/>
    <w:rsid w:val="00176A29"/>
    <w:rsid w:val="00177A5D"/>
    <w:rsid w:val="00177B17"/>
    <w:rsid w:val="00177EBE"/>
    <w:rsid w:val="0018172A"/>
    <w:rsid w:val="00181D21"/>
    <w:rsid w:val="001821C8"/>
    <w:rsid w:val="00182D0B"/>
    <w:rsid w:val="00183476"/>
    <w:rsid w:val="00183B3C"/>
    <w:rsid w:val="00185304"/>
    <w:rsid w:val="00187D56"/>
    <w:rsid w:val="00190CE1"/>
    <w:rsid w:val="00192261"/>
    <w:rsid w:val="00193290"/>
    <w:rsid w:val="001936DF"/>
    <w:rsid w:val="00194E35"/>
    <w:rsid w:val="00194E4C"/>
    <w:rsid w:val="00194EAE"/>
    <w:rsid w:val="00194F61"/>
    <w:rsid w:val="00196679"/>
    <w:rsid w:val="001A0CED"/>
    <w:rsid w:val="001A1770"/>
    <w:rsid w:val="001A1AB5"/>
    <w:rsid w:val="001A301E"/>
    <w:rsid w:val="001A3780"/>
    <w:rsid w:val="001A5D40"/>
    <w:rsid w:val="001A6340"/>
    <w:rsid w:val="001A6D61"/>
    <w:rsid w:val="001A76D2"/>
    <w:rsid w:val="001B13E2"/>
    <w:rsid w:val="001B233C"/>
    <w:rsid w:val="001B2A40"/>
    <w:rsid w:val="001B2AC9"/>
    <w:rsid w:val="001B3482"/>
    <w:rsid w:val="001B34E4"/>
    <w:rsid w:val="001B4336"/>
    <w:rsid w:val="001B4E8D"/>
    <w:rsid w:val="001B5EC4"/>
    <w:rsid w:val="001B65F0"/>
    <w:rsid w:val="001B6928"/>
    <w:rsid w:val="001B76DA"/>
    <w:rsid w:val="001C04E1"/>
    <w:rsid w:val="001C0578"/>
    <w:rsid w:val="001C2902"/>
    <w:rsid w:val="001C5638"/>
    <w:rsid w:val="001C5A64"/>
    <w:rsid w:val="001C6F0E"/>
    <w:rsid w:val="001D0617"/>
    <w:rsid w:val="001D0758"/>
    <w:rsid w:val="001D12BA"/>
    <w:rsid w:val="001D16C0"/>
    <w:rsid w:val="001D19BA"/>
    <w:rsid w:val="001D1B83"/>
    <w:rsid w:val="001D304C"/>
    <w:rsid w:val="001D34DF"/>
    <w:rsid w:val="001D39AF"/>
    <w:rsid w:val="001D45F6"/>
    <w:rsid w:val="001D5AEF"/>
    <w:rsid w:val="001D6BCF"/>
    <w:rsid w:val="001D7061"/>
    <w:rsid w:val="001E075B"/>
    <w:rsid w:val="001E0A8D"/>
    <w:rsid w:val="001E1149"/>
    <w:rsid w:val="001E2E82"/>
    <w:rsid w:val="001E3E7D"/>
    <w:rsid w:val="001E4F1A"/>
    <w:rsid w:val="001E528E"/>
    <w:rsid w:val="001E5F94"/>
    <w:rsid w:val="001E637E"/>
    <w:rsid w:val="001E6B22"/>
    <w:rsid w:val="001E6DF4"/>
    <w:rsid w:val="001F07BD"/>
    <w:rsid w:val="001F0A17"/>
    <w:rsid w:val="001F10E4"/>
    <w:rsid w:val="001F292B"/>
    <w:rsid w:val="001F2943"/>
    <w:rsid w:val="001F2C69"/>
    <w:rsid w:val="001F3971"/>
    <w:rsid w:val="001F463B"/>
    <w:rsid w:val="001F4BA9"/>
    <w:rsid w:val="001F5547"/>
    <w:rsid w:val="001F60DA"/>
    <w:rsid w:val="001F6F40"/>
    <w:rsid w:val="001F7244"/>
    <w:rsid w:val="00200A58"/>
    <w:rsid w:val="00201FB8"/>
    <w:rsid w:val="00202A5A"/>
    <w:rsid w:val="002045EF"/>
    <w:rsid w:val="00204A5E"/>
    <w:rsid w:val="00204DFA"/>
    <w:rsid w:val="00207D2A"/>
    <w:rsid w:val="002108AF"/>
    <w:rsid w:val="00211005"/>
    <w:rsid w:val="00211A38"/>
    <w:rsid w:val="002121E1"/>
    <w:rsid w:val="00213AA2"/>
    <w:rsid w:val="00213F71"/>
    <w:rsid w:val="00214B9E"/>
    <w:rsid w:val="00216669"/>
    <w:rsid w:val="00220B2A"/>
    <w:rsid w:val="00220DD9"/>
    <w:rsid w:val="00221663"/>
    <w:rsid w:val="0022182B"/>
    <w:rsid w:val="00221B1E"/>
    <w:rsid w:val="00223180"/>
    <w:rsid w:val="00223332"/>
    <w:rsid w:val="00224BAF"/>
    <w:rsid w:val="00224CD6"/>
    <w:rsid w:val="00224FA1"/>
    <w:rsid w:val="00226B9E"/>
    <w:rsid w:val="002278A6"/>
    <w:rsid w:val="002308F3"/>
    <w:rsid w:val="002315C9"/>
    <w:rsid w:val="00232A81"/>
    <w:rsid w:val="002336A8"/>
    <w:rsid w:val="00233C9A"/>
    <w:rsid w:val="002344D5"/>
    <w:rsid w:val="002346A8"/>
    <w:rsid w:val="00234B9E"/>
    <w:rsid w:val="00235D79"/>
    <w:rsid w:val="00236032"/>
    <w:rsid w:val="00236DD7"/>
    <w:rsid w:val="00240638"/>
    <w:rsid w:val="002409CF"/>
    <w:rsid w:val="00241652"/>
    <w:rsid w:val="00241DB8"/>
    <w:rsid w:val="0024216B"/>
    <w:rsid w:val="00242E1B"/>
    <w:rsid w:val="002442F7"/>
    <w:rsid w:val="0024436D"/>
    <w:rsid w:val="00244856"/>
    <w:rsid w:val="002459AA"/>
    <w:rsid w:val="002469F7"/>
    <w:rsid w:val="00246F08"/>
    <w:rsid w:val="0025014C"/>
    <w:rsid w:val="0025017D"/>
    <w:rsid w:val="00250F86"/>
    <w:rsid w:val="0025243D"/>
    <w:rsid w:val="00252941"/>
    <w:rsid w:val="00252A0E"/>
    <w:rsid w:val="00252A62"/>
    <w:rsid w:val="00254BC1"/>
    <w:rsid w:val="00254CCD"/>
    <w:rsid w:val="00256336"/>
    <w:rsid w:val="00260D9E"/>
    <w:rsid w:val="00262461"/>
    <w:rsid w:val="00262FF6"/>
    <w:rsid w:val="0026450F"/>
    <w:rsid w:val="00265A3B"/>
    <w:rsid w:val="00265B55"/>
    <w:rsid w:val="0026718B"/>
    <w:rsid w:val="0027080D"/>
    <w:rsid w:val="00272D7F"/>
    <w:rsid w:val="00272DE9"/>
    <w:rsid w:val="00273021"/>
    <w:rsid w:val="002736EB"/>
    <w:rsid w:val="00274C94"/>
    <w:rsid w:val="00276189"/>
    <w:rsid w:val="00276CE8"/>
    <w:rsid w:val="00277219"/>
    <w:rsid w:val="00277E3E"/>
    <w:rsid w:val="00280322"/>
    <w:rsid w:val="00280400"/>
    <w:rsid w:val="00280782"/>
    <w:rsid w:val="00280BAC"/>
    <w:rsid w:val="00280BAF"/>
    <w:rsid w:val="0028156B"/>
    <w:rsid w:val="002819E6"/>
    <w:rsid w:val="00281C36"/>
    <w:rsid w:val="002828C9"/>
    <w:rsid w:val="00282C7A"/>
    <w:rsid w:val="002832A3"/>
    <w:rsid w:val="00283DBF"/>
    <w:rsid w:val="00285129"/>
    <w:rsid w:val="00285E33"/>
    <w:rsid w:val="00286E07"/>
    <w:rsid w:val="00287758"/>
    <w:rsid w:val="0028792F"/>
    <w:rsid w:val="00290AD0"/>
    <w:rsid w:val="002912C0"/>
    <w:rsid w:val="002912CB"/>
    <w:rsid w:val="00292A2C"/>
    <w:rsid w:val="002935C9"/>
    <w:rsid w:val="002959BD"/>
    <w:rsid w:val="00296A60"/>
    <w:rsid w:val="002977A1"/>
    <w:rsid w:val="00297BDF"/>
    <w:rsid w:val="002A0E73"/>
    <w:rsid w:val="002A2D4D"/>
    <w:rsid w:val="002A3B4B"/>
    <w:rsid w:val="002A5012"/>
    <w:rsid w:val="002A5451"/>
    <w:rsid w:val="002A5B3C"/>
    <w:rsid w:val="002A6D69"/>
    <w:rsid w:val="002A7359"/>
    <w:rsid w:val="002A7CC6"/>
    <w:rsid w:val="002B0EE6"/>
    <w:rsid w:val="002B29A7"/>
    <w:rsid w:val="002B32CC"/>
    <w:rsid w:val="002B4099"/>
    <w:rsid w:val="002B4E5F"/>
    <w:rsid w:val="002B6092"/>
    <w:rsid w:val="002B6A89"/>
    <w:rsid w:val="002B6D57"/>
    <w:rsid w:val="002C0570"/>
    <w:rsid w:val="002C19CF"/>
    <w:rsid w:val="002C1FF1"/>
    <w:rsid w:val="002C33E7"/>
    <w:rsid w:val="002C45EC"/>
    <w:rsid w:val="002C4F18"/>
    <w:rsid w:val="002C50D2"/>
    <w:rsid w:val="002C5152"/>
    <w:rsid w:val="002C5FC4"/>
    <w:rsid w:val="002D122D"/>
    <w:rsid w:val="002D1E6D"/>
    <w:rsid w:val="002D1ECC"/>
    <w:rsid w:val="002D222F"/>
    <w:rsid w:val="002D3060"/>
    <w:rsid w:val="002D443D"/>
    <w:rsid w:val="002D50ED"/>
    <w:rsid w:val="002D6FF5"/>
    <w:rsid w:val="002E28BE"/>
    <w:rsid w:val="002E2B4D"/>
    <w:rsid w:val="002E4073"/>
    <w:rsid w:val="002E4BEC"/>
    <w:rsid w:val="002E598A"/>
    <w:rsid w:val="002E6C0A"/>
    <w:rsid w:val="002E6DBA"/>
    <w:rsid w:val="002F03D3"/>
    <w:rsid w:val="002F0F33"/>
    <w:rsid w:val="002F13C5"/>
    <w:rsid w:val="002F1780"/>
    <w:rsid w:val="002F2E05"/>
    <w:rsid w:val="002F301B"/>
    <w:rsid w:val="002F332E"/>
    <w:rsid w:val="002F366C"/>
    <w:rsid w:val="002F38A4"/>
    <w:rsid w:val="002F49E9"/>
    <w:rsid w:val="002F797B"/>
    <w:rsid w:val="0030026F"/>
    <w:rsid w:val="003003F6"/>
    <w:rsid w:val="0030086E"/>
    <w:rsid w:val="00301C07"/>
    <w:rsid w:val="0030441D"/>
    <w:rsid w:val="00304803"/>
    <w:rsid w:val="00305683"/>
    <w:rsid w:val="00305B7D"/>
    <w:rsid w:val="003074D7"/>
    <w:rsid w:val="0031030B"/>
    <w:rsid w:val="0031045C"/>
    <w:rsid w:val="00310C64"/>
    <w:rsid w:val="00310C85"/>
    <w:rsid w:val="00310D51"/>
    <w:rsid w:val="00311416"/>
    <w:rsid w:val="00311B14"/>
    <w:rsid w:val="00311CBD"/>
    <w:rsid w:val="00312ADF"/>
    <w:rsid w:val="00313883"/>
    <w:rsid w:val="00314F1B"/>
    <w:rsid w:val="00315261"/>
    <w:rsid w:val="0031645D"/>
    <w:rsid w:val="00316A6A"/>
    <w:rsid w:val="00316C56"/>
    <w:rsid w:val="003174C7"/>
    <w:rsid w:val="003201A9"/>
    <w:rsid w:val="00320920"/>
    <w:rsid w:val="0032094C"/>
    <w:rsid w:val="003209DC"/>
    <w:rsid w:val="003225D9"/>
    <w:rsid w:val="0032431D"/>
    <w:rsid w:val="003260AF"/>
    <w:rsid w:val="00327C32"/>
    <w:rsid w:val="00330790"/>
    <w:rsid w:val="00330F14"/>
    <w:rsid w:val="0033235D"/>
    <w:rsid w:val="0033258F"/>
    <w:rsid w:val="0033391A"/>
    <w:rsid w:val="00333D25"/>
    <w:rsid w:val="00334332"/>
    <w:rsid w:val="003346CB"/>
    <w:rsid w:val="00334C06"/>
    <w:rsid w:val="00335B0A"/>
    <w:rsid w:val="00336930"/>
    <w:rsid w:val="00337817"/>
    <w:rsid w:val="00340A41"/>
    <w:rsid w:val="00341594"/>
    <w:rsid w:val="00341A9E"/>
    <w:rsid w:val="00342B2F"/>
    <w:rsid w:val="00342B76"/>
    <w:rsid w:val="0034640E"/>
    <w:rsid w:val="0034762D"/>
    <w:rsid w:val="00350773"/>
    <w:rsid w:val="00350844"/>
    <w:rsid w:val="003511F5"/>
    <w:rsid w:val="0035121E"/>
    <w:rsid w:val="0035151B"/>
    <w:rsid w:val="00352045"/>
    <w:rsid w:val="0035262C"/>
    <w:rsid w:val="003538E2"/>
    <w:rsid w:val="00354966"/>
    <w:rsid w:val="0035507F"/>
    <w:rsid w:val="00356348"/>
    <w:rsid w:val="00356FB3"/>
    <w:rsid w:val="003575A1"/>
    <w:rsid w:val="00357657"/>
    <w:rsid w:val="00357820"/>
    <w:rsid w:val="00360162"/>
    <w:rsid w:val="00361566"/>
    <w:rsid w:val="00361C39"/>
    <w:rsid w:val="00362C6F"/>
    <w:rsid w:val="00363174"/>
    <w:rsid w:val="003632CC"/>
    <w:rsid w:val="00363602"/>
    <w:rsid w:val="003636F6"/>
    <w:rsid w:val="00364AE5"/>
    <w:rsid w:val="00364CAA"/>
    <w:rsid w:val="00365C66"/>
    <w:rsid w:val="00366118"/>
    <w:rsid w:val="00367FBB"/>
    <w:rsid w:val="003706EE"/>
    <w:rsid w:val="00370A1E"/>
    <w:rsid w:val="00370F63"/>
    <w:rsid w:val="0037157A"/>
    <w:rsid w:val="00371AA9"/>
    <w:rsid w:val="0037211B"/>
    <w:rsid w:val="00372EA1"/>
    <w:rsid w:val="00373B05"/>
    <w:rsid w:val="00373C34"/>
    <w:rsid w:val="00373CE2"/>
    <w:rsid w:val="00373E69"/>
    <w:rsid w:val="00373F13"/>
    <w:rsid w:val="00374629"/>
    <w:rsid w:val="00374E9C"/>
    <w:rsid w:val="00375ED4"/>
    <w:rsid w:val="00377268"/>
    <w:rsid w:val="003778BB"/>
    <w:rsid w:val="00377C3B"/>
    <w:rsid w:val="00380B55"/>
    <w:rsid w:val="00380F66"/>
    <w:rsid w:val="0038190C"/>
    <w:rsid w:val="003847D6"/>
    <w:rsid w:val="003853AC"/>
    <w:rsid w:val="0038547A"/>
    <w:rsid w:val="003862A9"/>
    <w:rsid w:val="00387C5F"/>
    <w:rsid w:val="00390AE5"/>
    <w:rsid w:val="00390EBD"/>
    <w:rsid w:val="00391276"/>
    <w:rsid w:val="00391C70"/>
    <w:rsid w:val="00392511"/>
    <w:rsid w:val="003926F8"/>
    <w:rsid w:val="00392807"/>
    <w:rsid w:val="0039453F"/>
    <w:rsid w:val="00395083"/>
    <w:rsid w:val="00395EE4"/>
    <w:rsid w:val="003A0973"/>
    <w:rsid w:val="003A0A86"/>
    <w:rsid w:val="003A0BBE"/>
    <w:rsid w:val="003A2BD3"/>
    <w:rsid w:val="003A3215"/>
    <w:rsid w:val="003A42E1"/>
    <w:rsid w:val="003A4937"/>
    <w:rsid w:val="003A5480"/>
    <w:rsid w:val="003A5489"/>
    <w:rsid w:val="003A5ABF"/>
    <w:rsid w:val="003A6134"/>
    <w:rsid w:val="003A6DDC"/>
    <w:rsid w:val="003A6FD4"/>
    <w:rsid w:val="003A7C5A"/>
    <w:rsid w:val="003B128B"/>
    <w:rsid w:val="003B2799"/>
    <w:rsid w:val="003B2EC3"/>
    <w:rsid w:val="003B396E"/>
    <w:rsid w:val="003B49E1"/>
    <w:rsid w:val="003B52E9"/>
    <w:rsid w:val="003B58B7"/>
    <w:rsid w:val="003B5A45"/>
    <w:rsid w:val="003B5AC3"/>
    <w:rsid w:val="003B6451"/>
    <w:rsid w:val="003C1089"/>
    <w:rsid w:val="003C30F6"/>
    <w:rsid w:val="003C360D"/>
    <w:rsid w:val="003C5166"/>
    <w:rsid w:val="003C5D12"/>
    <w:rsid w:val="003C605E"/>
    <w:rsid w:val="003C7AC9"/>
    <w:rsid w:val="003C7E29"/>
    <w:rsid w:val="003D1D2C"/>
    <w:rsid w:val="003D2D2A"/>
    <w:rsid w:val="003D3051"/>
    <w:rsid w:val="003D43E1"/>
    <w:rsid w:val="003D442E"/>
    <w:rsid w:val="003D5590"/>
    <w:rsid w:val="003D698A"/>
    <w:rsid w:val="003D6DAA"/>
    <w:rsid w:val="003E03EE"/>
    <w:rsid w:val="003E0B8E"/>
    <w:rsid w:val="003E1AE8"/>
    <w:rsid w:val="003E2A7E"/>
    <w:rsid w:val="003E33A7"/>
    <w:rsid w:val="003E3B07"/>
    <w:rsid w:val="003E3EF2"/>
    <w:rsid w:val="003E47AD"/>
    <w:rsid w:val="003E4826"/>
    <w:rsid w:val="003E48B5"/>
    <w:rsid w:val="003E6FD6"/>
    <w:rsid w:val="003E7121"/>
    <w:rsid w:val="003E7664"/>
    <w:rsid w:val="003E7FAC"/>
    <w:rsid w:val="003F0041"/>
    <w:rsid w:val="003F124A"/>
    <w:rsid w:val="003F1253"/>
    <w:rsid w:val="003F1273"/>
    <w:rsid w:val="003F3034"/>
    <w:rsid w:val="003F4033"/>
    <w:rsid w:val="003F455A"/>
    <w:rsid w:val="003F466F"/>
    <w:rsid w:val="003F48A0"/>
    <w:rsid w:val="003F4AFE"/>
    <w:rsid w:val="003F4BE0"/>
    <w:rsid w:val="003F4BE7"/>
    <w:rsid w:val="003F5C0E"/>
    <w:rsid w:val="003F78D3"/>
    <w:rsid w:val="0040046A"/>
    <w:rsid w:val="00400603"/>
    <w:rsid w:val="004026E7"/>
    <w:rsid w:val="00402701"/>
    <w:rsid w:val="004037C3"/>
    <w:rsid w:val="00403A3D"/>
    <w:rsid w:val="00405541"/>
    <w:rsid w:val="00405F57"/>
    <w:rsid w:val="004060CB"/>
    <w:rsid w:val="00407053"/>
    <w:rsid w:val="00410677"/>
    <w:rsid w:val="00411D2B"/>
    <w:rsid w:val="0041257D"/>
    <w:rsid w:val="004136F2"/>
    <w:rsid w:val="00415C6C"/>
    <w:rsid w:val="00416F74"/>
    <w:rsid w:val="0042185A"/>
    <w:rsid w:val="00423B6E"/>
    <w:rsid w:val="00424067"/>
    <w:rsid w:val="00425165"/>
    <w:rsid w:val="004258DA"/>
    <w:rsid w:val="00426423"/>
    <w:rsid w:val="004266C2"/>
    <w:rsid w:val="00427382"/>
    <w:rsid w:val="00427AA9"/>
    <w:rsid w:val="00431712"/>
    <w:rsid w:val="00431EEB"/>
    <w:rsid w:val="00433037"/>
    <w:rsid w:val="004342C7"/>
    <w:rsid w:val="004350A2"/>
    <w:rsid w:val="004362E2"/>
    <w:rsid w:val="004373B2"/>
    <w:rsid w:val="00440EDF"/>
    <w:rsid w:val="00442AEB"/>
    <w:rsid w:val="00442C49"/>
    <w:rsid w:val="00443BB0"/>
    <w:rsid w:val="0044412E"/>
    <w:rsid w:val="00444D1E"/>
    <w:rsid w:val="00445283"/>
    <w:rsid w:val="004453B1"/>
    <w:rsid w:val="00445928"/>
    <w:rsid w:val="0044677E"/>
    <w:rsid w:val="00446FF5"/>
    <w:rsid w:val="00450339"/>
    <w:rsid w:val="00450FA7"/>
    <w:rsid w:val="00451321"/>
    <w:rsid w:val="0045172C"/>
    <w:rsid w:val="004528F2"/>
    <w:rsid w:val="00452E6E"/>
    <w:rsid w:val="00453BB3"/>
    <w:rsid w:val="00453C12"/>
    <w:rsid w:val="00453FE4"/>
    <w:rsid w:val="00454656"/>
    <w:rsid w:val="004554D1"/>
    <w:rsid w:val="00455760"/>
    <w:rsid w:val="00456256"/>
    <w:rsid w:val="0046069F"/>
    <w:rsid w:val="00460A60"/>
    <w:rsid w:val="00460F40"/>
    <w:rsid w:val="00462153"/>
    <w:rsid w:val="00463081"/>
    <w:rsid w:val="00463A62"/>
    <w:rsid w:val="00463FA9"/>
    <w:rsid w:val="00464BCC"/>
    <w:rsid w:val="00465134"/>
    <w:rsid w:val="004659E3"/>
    <w:rsid w:val="00465BF3"/>
    <w:rsid w:val="00467217"/>
    <w:rsid w:val="00467257"/>
    <w:rsid w:val="0046799A"/>
    <w:rsid w:val="00467FC7"/>
    <w:rsid w:val="00471C1D"/>
    <w:rsid w:val="00472A2E"/>
    <w:rsid w:val="00472AB6"/>
    <w:rsid w:val="00472B20"/>
    <w:rsid w:val="0047426E"/>
    <w:rsid w:val="00474A49"/>
    <w:rsid w:val="00475BA2"/>
    <w:rsid w:val="00475DFC"/>
    <w:rsid w:val="004768F7"/>
    <w:rsid w:val="00477878"/>
    <w:rsid w:val="00477ECF"/>
    <w:rsid w:val="004803EB"/>
    <w:rsid w:val="00480443"/>
    <w:rsid w:val="004816C9"/>
    <w:rsid w:val="00481FBC"/>
    <w:rsid w:val="0048331B"/>
    <w:rsid w:val="004852E0"/>
    <w:rsid w:val="00490DE4"/>
    <w:rsid w:val="00491B38"/>
    <w:rsid w:val="00494356"/>
    <w:rsid w:val="004948FF"/>
    <w:rsid w:val="00495495"/>
    <w:rsid w:val="0049600C"/>
    <w:rsid w:val="00496079"/>
    <w:rsid w:val="004967D5"/>
    <w:rsid w:val="004972AB"/>
    <w:rsid w:val="00497833"/>
    <w:rsid w:val="004A10A8"/>
    <w:rsid w:val="004A1F08"/>
    <w:rsid w:val="004A25C8"/>
    <w:rsid w:val="004A2A62"/>
    <w:rsid w:val="004A2C23"/>
    <w:rsid w:val="004A3F95"/>
    <w:rsid w:val="004A4C04"/>
    <w:rsid w:val="004A4CA6"/>
    <w:rsid w:val="004A5A8C"/>
    <w:rsid w:val="004A6205"/>
    <w:rsid w:val="004A6B36"/>
    <w:rsid w:val="004A6F36"/>
    <w:rsid w:val="004A7281"/>
    <w:rsid w:val="004B008B"/>
    <w:rsid w:val="004B0762"/>
    <w:rsid w:val="004B1325"/>
    <w:rsid w:val="004B3CFD"/>
    <w:rsid w:val="004B3E6E"/>
    <w:rsid w:val="004B4634"/>
    <w:rsid w:val="004B670B"/>
    <w:rsid w:val="004B6CE4"/>
    <w:rsid w:val="004B6D05"/>
    <w:rsid w:val="004B7864"/>
    <w:rsid w:val="004B7AB5"/>
    <w:rsid w:val="004C04F7"/>
    <w:rsid w:val="004C0E84"/>
    <w:rsid w:val="004C0F58"/>
    <w:rsid w:val="004C2073"/>
    <w:rsid w:val="004C2476"/>
    <w:rsid w:val="004C30F4"/>
    <w:rsid w:val="004C31E6"/>
    <w:rsid w:val="004C3635"/>
    <w:rsid w:val="004C5137"/>
    <w:rsid w:val="004C59DB"/>
    <w:rsid w:val="004C7025"/>
    <w:rsid w:val="004D0206"/>
    <w:rsid w:val="004D07A5"/>
    <w:rsid w:val="004D17DD"/>
    <w:rsid w:val="004D25CF"/>
    <w:rsid w:val="004D269C"/>
    <w:rsid w:val="004D3D66"/>
    <w:rsid w:val="004D4096"/>
    <w:rsid w:val="004D5127"/>
    <w:rsid w:val="004D5707"/>
    <w:rsid w:val="004D694E"/>
    <w:rsid w:val="004D6F44"/>
    <w:rsid w:val="004D7195"/>
    <w:rsid w:val="004D74EF"/>
    <w:rsid w:val="004E0223"/>
    <w:rsid w:val="004E061B"/>
    <w:rsid w:val="004E126D"/>
    <w:rsid w:val="004E16E0"/>
    <w:rsid w:val="004E18AC"/>
    <w:rsid w:val="004E1EBA"/>
    <w:rsid w:val="004E3790"/>
    <w:rsid w:val="004E39A4"/>
    <w:rsid w:val="004E3B7C"/>
    <w:rsid w:val="004E3BE9"/>
    <w:rsid w:val="004E3E33"/>
    <w:rsid w:val="004E4348"/>
    <w:rsid w:val="004E4FEF"/>
    <w:rsid w:val="004E5225"/>
    <w:rsid w:val="004E535D"/>
    <w:rsid w:val="004E551D"/>
    <w:rsid w:val="004E57E9"/>
    <w:rsid w:val="004E5B20"/>
    <w:rsid w:val="004E5CB3"/>
    <w:rsid w:val="004E6069"/>
    <w:rsid w:val="004E6B5F"/>
    <w:rsid w:val="004E6EFB"/>
    <w:rsid w:val="004F0233"/>
    <w:rsid w:val="004F0856"/>
    <w:rsid w:val="004F1A90"/>
    <w:rsid w:val="004F2248"/>
    <w:rsid w:val="004F27B7"/>
    <w:rsid w:val="004F2F4C"/>
    <w:rsid w:val="004F3796"/>
    <w:rsid w:val="004F44BE"/>
    <w:rsid w:val="004F4F37"/>
    <w:rsid w:val="004F5749"/>
    <w:rsid w:val="004F5EB1"/>
    <w:rsid w:val="004F63A4"/>
    <w:rsid w:val="004F74F8"/>
    <w:rsid w:val="005000B1"/>
    <w:rsid w:val="00501B23"/>
    <w:rsid w:val="00502737"/>
    <w:rsid w:val="00503897"/>
    <w:rsid w:val="00504B5A"/>
    <w:rsid w:val="005053B7"/>
    <w:rsid w:val="00506D35"/>
    <w:rsid w:val="00507823"/>
    <w:rsid w:val="00507C6F"/>
    <w:rsid w:val="00510A0D"/>
    <w:rsid w:val="00513A8F"/>
    <w:rsid w:val="00515A47"/>
    <w:rsid w:val="005167C1"/>
    <w:rsid w:val="0052664B"/>
    <w:rsid w:val="0052729D"/>
    <w:rsid w:val="00530BEE"/>
    <w:rsid w:val="005318F1"/>
    <w:rsid w:val="005326AA"/>
    <w:rsid w:val="005327C3"/>
    <w:rsid w:val="00534C39"/>
    <w:rsid w:val="00535921"/>
    <w:rsid w:val="0053657A"/>
    <w:rsid w:val="00536A8A"/>
    <w:rsid w:val="00536B90"/>
    <w:rsid w:val="00537D51"/>
    <w:rsid w:val="00540587"/>
    <w:rsid w:val="00540C94"/>
    <w:rsid w:val="005410C5"/>
    <w:rsid w:val="0054124C"/>
    <w:rsid w:val="00541DD6"/>
    <w:rsid w:val="00543015"/>
    <w:rsid w:val="00543E51"/>
    <w:rsid w:val="00544215"/>
    <w:rsid w:val="00544583"/>
    <w:rsid w:val="00544DCE"/>
    <w:rsid w:val="00546312"/>
    <w:rsid w:val="00546622"/>
    <w:rsid w:val="00546B5E"/>
    <w:rsid w:val="005477CC"/>
    <w:rsid w:val="00547969"/>
    <w:rsid w:val="00550F8E"/>
    <w:rsid w:val="00551260"/>
    <w:rsid w:val="00551E20"/>
    <w:rsid w:val="005521C2"/>
    <w:rsid w:val="005524ED"/>
    <w:rsid w:val="0055342D"/>
    <w:rsid w:val="00553AFE"/>
    <w:rsid w:val="0055497A"/>
    <w:rsid w:val="00555A47"/>
    <w:rsid w:val="00555B2A"/>
    <w:rsid w:val="005565ED"/>
    <w:rsid w:val="00556A3E"/>
    <w:rsid w:val="00557723"/>
    <w:rsid w:val="00557DFA"/>
    <w:rsid w:val="00560032"/>
    <w:rsid w:val="00560D0C"/>
    <w:rsid w:val="00561AD1"/>
    <w:rsid w:val="00562B9F"/>
    <w:rsid w:val="0056339C"/>
    <w:rsid w:val="00563778"/>
    <w:rsid w:val="00563C2B"/>
    <w:rsid w:val="005645AC"/>
    <w:rsid w:val="005666E6"/>
    <w:rsid w:val="005668D0"/>
    <w:rsid w:val="005676C5"/>
    <w:rsid w:val="00567C89"/>
    <w:rsid w:val="005703D1"/>
    <w:rsid w:val="00570CDE"/>
    <w:rsid w:val="00570E5C"/>
    <w:rsid w:val="0057184E"/>
    <w:rsid w:val="00571B76"/>
    <w:rsid w:val="00572472"/>
    <w:rsid w:val="00572F7A"/>
    <w:rsid w:val="005731CA"/>
    <w:rsid w:val="00573CFB"/>
    <w:rsid w:val="00574ECA"/>
    <w:rsid w:val="005752DB"/>
    <w:rsid w:val="00575F31"/>
    <w:rsid w:val="005767EB"/>
    <w:rsid w:val="00577D5F"/>
    <w:rsid w:val="00580ECB"/>
    <w:rsid w:val="0058156F"/>
    <w:rsid w:val="00583326"/>
    <w:rsid w:val="005838DF"/>
    <w:rsid w:val="00583962"/>
    <w:rsid w:val="0058423C"/>
    <w:rsid w:val="00584EF6"/>
    <w:rsid w:val="00584FD7"/>
    <w:rsid w:val="005858E6"/>
    <w:rsid w:val="00585D41"/>
    <w:rsid w:val="005865FC"/>
    <w:rsid w:val="00586DA9"/>
    <w:rsid w:val="00587212"/>
    <w:rsid w:val="0058756F"/>
    <w:rsid w:val="00587E94"/>
    <w:rsid w:val="00591D91"/>
    <w:rsid w:val="00593311"/>
    <w:rsid w:val="00593BED"/>
    <w:rsid w:val="00594A9E"/>
    <w:rsid w:val="00595806"/>
    <w:rsid w:val="005969C0"/>
    <w:rsid w:val="005970B5"/>
    <w:rsid w:val="00597435"/>
    <w:rsid w:val="005A0303"/>
    <w:rsid w:val="005A2614"/>
    <w:rsid w:val="005A29C5"/>
    <w:rsid w:val="005A3575"/>
    <w:rsid w:val="005A37BD"/>
    <w:rsid w:val="005A383D"/>
    <w:rsid w:val="005A3D79"/>
    <w:rsid w:val="005A41A9"/>
    <w:rsid w:val="005A5D9C"/>
    <w:rsid w:val="005A7DE4"/>
    <w:rsid w:val="005B0529"/>
    <w:rsid w:val="005B1671"/>
    <w:rsid w:val="005B19DD"/>
    <w:rsid w:val="005B2980"/>
    <w:rsid w:val="005B344E"/>
    <w:rsid w:val="005B3A74"/>
    <w:rsid w:val="005B40BF"/>
    <w:rsid w:val="005B4E34"/>
    <w:rsid w:val="005B5324"/>
    <w:rsid w:val="005B5DC3"/>
    <w:rsid w:val="005C1689"/>
    <w:rsid w:val="005C21E4"/>
    <w:rsid w:val="005C62A1"/>
    <w:rsid w:val="005C7351"/>
    <w:rsid w:val="005C7BF7"/>
    <w:rsid w:val="005C7F43"/>
    <w:rsid w:val="005D034E"/>
    <w:rsid w:val="005D0DF8"/>
    <w:rsid w:val="005D10C4"/>
    <w:rsid w:val="005D1ADB"/>
    <w:rsid w:val="005D1CDD"/>
    <w:rsid w:val="005D1F32"/>
    <w:rsid w:val="005D2403"/>
    <w:rsid w:val="005D2854"/>
    <w:rsid w:val="005D2C7C"/>
    <w:rsid w:val="005D3A68"/>
    <w:rsid w:val="005D41F0"/>
    <w:rsid w:val="005D5460"/>
    <w:rsid w:val="005D5492"/>
    <w:rsid w:val="005D54CE"/>
    <w:rsid w:val="005D5BFB"/>
    <w:rsid w:val="005E0096"/>
    <w:rsid w:val="005E06AB"/>
    <w:rsid w:val="005E2A89"/>
    <w:rsid w:val="005E3E32"/>
    <w:rsid w:val="005E491F"/>
    <w:rsid w:val="005E4C0A"/>
    <w:rsid w:val="005E523A"/>
    <w:rsid w:val="005E5280"/>
    <w:rsid w:val="005E52E7"/>
    <w:rsid w:val="005E6B35"/>
    <w:rsid w:val="005E76C7"/>
    <w:rsid w:val="005E7C98"/>
    <w:rsid w:val="005F0396"/>
    <w:rsid w:val="005F0F7C"/>
    <w:rsid w:val="005F42C4"/>
    <w:rsid w:val="005F52C3"/>
    <w:rsid w:val="005F5CF2"/>
    <w:rsid w:val="005F5D20"/>
    <w:rsid w:val="005F6145"/>
    <w:rsid w:val="005F6373"/>
    <w:rsid w:val="00600446"/>
    <w:rsid w:val="00603735"/>
    <w:rsid w:val="00603E95"/>
    <w:rsid w:val="00604BB2"/>
    <w:rsid w:val="00607B10"/>
    <w:rsid w:val="006125DE"/>
    <w:rsid w:val="00612959"/>
    <w:rsid w:val="00613992"/>
    <w:rsid w:val="00613D5D"/>
    <w:rsid w:val="0061495A"/>
    <w:rsid w:val="00614F39"/>
    <w:rsid w:val="006172A8"/>
    <w:rsid w:val="0061750F"/>
    <w:rsid w:val="00620D5C"/>
    <w:rsid w:val="00621367"/>
    <w:rsid w:val="006213E2"/>
    <w:rsid w:val="0062244A"/>
    <w:rsid w:val="006228E8"/>
    <w:rsid w:val="00622A3D"/>
    <w:rsid w:val="006236FD"/>
    <w:rsid w:val="00624041"/>
    <w:rsid w:val="00625683"/>
    <w:rsid w:val="00627243"/>
    <w:rsid w:val="0062748D"/>
    <w:rsid w:val="00627F3E"/>
    <w:rsid w:val="00630453"/>
    <w:rsid w:val="006309D5"/>
    <w:rsid w:val="00630AB2"/>
    <w:rsid w:val="006310E1"/>
    <w:rsid w:val="00632927"/>
    <w:rsid w:val="00633C29"/>
    <w:rsid w:val="00635033"/>
    <w:rsid w:val="0063540D"/>
    <w:rsid w:val="006364A1"/>
    <w:rsid w:val="00636A9B"/>
    <w:rsid w:val="006403D1"/>
    <w:rsid w:val="00643E49"/>
    <w:rsid w:val="006441AB"/>
    <w:rsid w:val="00644437"/>
    <w:rsid w:val="0064466B"/>
    <w:rsid w:val="00644826"/>
    <w:rsid w:val="0064506D"/>
    <w:rsid w:val="00645A79"/>
    <w:rsid w:val="00645CA3"/>
    <w:rsid w:val="00645DBF"/>
    <w:rsid w:val="006462EC"/>
    <w:rsid w:val="006463A6"/>
    <w:rsid w:val="00646ACA"/>
    <w:rsid w:val="00646EC5"/>
    <w:rsid w:val="0065011A"/>
    <w:rsid w:val="006523C5"/>
    <w:rsid w:val="00652B55"/>
    <w:rsid w:val="00652EC5"/>
    <w:rsid w:val="006532C9"/>
    <w:rsid w:val="00653B1E"/>
    <w:rsid w:val="00655024"/>
    <w:rsid w:val="00655065"/>
    <w:rsid w:val="00655582"/>
    <w:rsid w:val="00656111"/>
    <w:rsid w:val="00657CBE"/>
    <w:rsid w:val="00657CE9"/>
    <w:rsid w:val="0066048B"/>
    <w:rsid w:val="006606E9"/>
    <w:rsid w:val="0066072C"/>
    <w:rsid w:val="00660E10"/>
    <w:rsid w:val="00661B7B"/>
    <w:rsid w:val="00662D3A"/>
    <w:rsid w:val="00664ABD"/>
    <w:rsid w:val="00665DDE"/>
    <w:rsid w:val="00665F96"/>
    <w:rsid w:val="0066653C"/>
    <w:rsid w:val="0066720A"/>
    <w:rsid w:val="0067068C"/>
    <w:rsid w:val="00670BC5"/>
    <w:rsid w:val="00671535"/>
    <w:rsid w:val="00672FA5"/>
    <w:rsid w:val="00673336"/>
    <w:rsid w:val="006735E7"/>
    <w:rsid w:val="0067633D"/>
    <w:rsid w:val="00676A60"/>
    <w:rsid w:val="00677CFB"/>
    <w:rsid w:val="00680F13"/>
    <w:rsid w:val="00682D2B"/>
    <w:rsid w:val="00683E1C"/>
    <w:rsid w:val="00684105"/>
    <w:rsid w:val="00684F8D"/>
    <w:rsid w:val="006857E7"/>
    <w:rsid w:val="00685B0C"/>
    <w:rsid w:val="00686B5D"/>
    <w:rsid w:val="00686D47"/>
    <w:rsid w:val="00687484"/>
    <w:rsid w:val="006878A0"/>
    <w:rsid w:val="00687AFD"/>
    <w:rsid w:val="006903B4"/>
    <w:rsid w:val="00690681"/>
    <w:rsid w:val="0069105F"/>
    <w:rsid w:val="0069154A"/>
    <w:rsid w:val="0069245B"/>
    <w:rsid w:val="006938D4"/>
    <w:rsid w:val="00695ACF"/>
    <w:rsid w:val="00695CFA"/>
    <w:rsid w:val="006963F5"/>
    <w:rsid w:val="0069668E"/>
    <w:rsid w:val="00696A58"/>
    <w:rsid w:val="006977C1"/>
    <w:rsid w:val="006A020B"/>
    <w:rsid w:val="006A0503"/>
    <w:rsid w:val="006A0B01"/>
    <w:rsid w:val="006A1DC2"/>
    <w:rsid w:val="006A29A8"/>
    <w:rsid w:val="006A35C8"/>
    <w:rsid w:val="006A58DB"/>
    <w:rsid w:val="006A5FC8"/>
    <w:rsid w:val="006A623C"/>
    <w:rsid w:val="006A6DF8"/>
    <w:rsid w:val="006A7244"/>
    <w:rsid w:val="006A7BEE"/>
    <w:rsid w:val="006B07A6"/>
    <w:rsid w:val="006B0E6F"/>
    <w:rsid w:val="006B159B"/>
    <w:rsid w:val="006B17D0"/>
    <w:rsid w:val="006B1872"/>
    <w:rsid w:val="006B1ECD"/>
    <w:rsid w:val="006B2A54"/>
    <w:rsid w:val="006B386F"/>
    <w:rsid w:val="006B3F64"/>
    <w:rsid w:val="006B40C2"/>
    <w:rsid w:val="006B52F6"/>
    <w:rsid w:val="006B58B5"/>
    <w:rsid w:val="006B6B30"/>
    <w:rsid w:val="006B70B5"/>
    <w:rsid w:val="006B7222"/>
    <w:rsid w:val="006B7864"/>
    <w:rsid w:val="006B7DF7"/>
    <w:rsid w:val="006C0DD2"/>
    <w:rsid w:val="006C122A"/>
    <w:rsid w:val="006C1416"/>
    <w:rsid w:val="006C4283"/>
    <w:rsid w:val="006C548C"/>
    <w:rsid w:val="006C65AE"/>
    <w:rsid w:val="006C69D4"/>
    <w:rsid w:val="006C783F"/>
    <w:rsid w:val="006D00D4"/>
    <w:rsid w:val="006D114F"/>
    <w:rsid w:val="006D12B7"/>
    <w:rsid w:val="006D171D"/>
    <w:rsid w:val="006D1B88"/>
    <w:rsid w:val="006D32A4"/>
    <w:rsid w:val="006D3B77"/>
    <w:rsid w:val="006D42CF"/>
    <w:rsid w:val="006D45A8"/>
    <w:rsid w:val="006D4AF3"/>
    <w:rsid w:val="006D4BE6"/>
    <w:rsid w:val="006D53AC"/>
    <w:rsid w:val="006D60D9"/>
    <w:rsid w:val="006D6F8E"/>
    <w:rsid w:val="006E0274"/>
    <w:rsid w:val="006E2A1D"/>
    <w:rsid w:val="006E384B"/>
    <w:rsid w:val="006E38B0"/>
    <w:rsid w:val="006E566B"/>
    <w:rsid w:val="006E586E"/>
    <w:rsid w:val="006F02FF"/>
    <w:rsid w:val="006F0853"/>
    <w:rsid w:val="006F152D"/>
    <w:rsid w:val="006F18DC"/>
    <w:rsid w:val="006F3D56"/>
    <w:rsid w:val="006F5108"/>
    <w:rsid w:val="006F5349"/>
    <w:rsid w:val="006F62E0"/>
    <w:rsid w:val="006F63A3"/>
    <w:rsid w:val="006F6FAE"/>
    <w:rsid w:val="007008A8"/>
    <w:rsid w:val="00700CD8"/>
    <w:rsid w:val="00701108"/>
    <w:rsid w:val="00701CFF"/>
    <w:rsid w:val="00701F7A"/>
    <w:rsid w:val="00702115"/>
    <w:rsid w:val="007024CB"/>
    <w:rsid w:val="00702BBF"/>
    <w:rsid w:val="007033C6"/>
    <w:rsid w:val="00703B78"/>
    <w:rsid w:val="007043AE"/>
    <w:rsid w:val="007045C7"/>
    <w:rsid w:val="00704634"/>
    <w:rsid w:val="00705B3C"/>
    <w:rsid w:val="00706DEA"/>
    <w:rsid w:val="00707CF7"/>
    <w:rsid w:val="007103AE"/>
    <w:rsid w:val="00710C51"/>
    <w:rsid w:val="00710ED5"/>
    <w:rsid w:val="00710FDF"/>
    <w:rsid w:val="00711141"/>
    <w:rsid w:val="00712367"/>
    <w:rsid w:val="00717441"/>
    <w:rsid w:val="00720AD5"/>
    <w:rsid w:val="00722C2C"/>
    <w:rsid w:val="007230E6"/>
    <w:rsid w:val="00724E9E"/>
    <w:rsid w:val="00724F4A"/>
    <w:rsid w:val="007259A0"/>
    <w:rsid w:val="0072660D"/>
    <w:rsid w:val="00726950"/>
    <w:rsid w:val="007309D2"/>
    <w:rsid w:val="0073333F"/>
    <w:rsid w:val="007338AB"/>
    <w:rsid w:val="00734BC1"/>
    <w:rsid w:val="00737296"/>
    <w:rsid w:val="007372DD"/>
    <w:rsid w:val="007379EC"/>
    <w:rsid w:val="007402B8"/>
    <w:rsid w:val="0074158C"/>
    <w:rsid w:val="00743178"/>
    <w:rsid w:val="007446DA"/>
    <w:rsid w:val="00744ACB"/>
    <w:rsid w:val="007456BC"/>
    <w:rsid w:val="00746B55"/>
    <w:rsid w:val="0075178E"/>
    <w:rsid w:val="00752066"/>
    <w:rsid w:val="007525B3"/>
    <w:rsid w:val="00752EEA"/>
    <w:rsid w:val="0075308F"/>
    <w:rsid w:val="00760A75"/>
    <w:rsid w:val="00760C50"/>
    <w:rsid w:val="00760DBD"/>
    <w:rsid w:val="00760F9F"/>
    <w:rsid w:val="00761580"/>
    <w:rsid w:val="00761BC8"/>
    <w:rsid w:val="00762490"/>
    <w:rsid w:val="00763370"/>
    <w:rsid w:val="00763C34"/>
    <w:rsid w:val="007647DD"/>
    <w:rsid w:val="00764B0F"/>
    <w:rsid w:val="00764EC9"/>
    <w:rsid w:val="00765284"/>
    <w:rsid w:val="0076694D"/>
    <w:rsid w:val="00767A95"/>
    <w:rsid w:val="00771401"/>
    <w:rsid w:val="00771972"/>
    <w:rsid w:val="0077216E"/>
    <w:rsid w:val="00773E53"/>
    <w:rsid w:val="00774660"/>
    <w:rsid w:val="00774D62"/>
    <w:rsid w:val="00774EA8"/>
    <w:rsid w:val="007758C8"/>
    <w:rsid w:val="00775C46"/>
    <w:rsid w:val="00775E20"/>
    <w:rsid w:val="0077623A"/>
    <w:rsid w:val="00777F45"/>
    <w:rsid w:val="00781BD5"/>
    <w:rsid w:val="007820DA"/>
    <w:rsid w:val="00782B1C"/>
    <w:rsid w:val="00782BD4"/>
    <w:rsid w:val="00783985"/>
    <w:rsid w:val="00783D1A"/>
    <w:rsid w:val="007904DE"/>
    <w:rsid w:val="007906BE"/>
    <w:rsid w:val="00790E1C"/>
    <w:rsid w:val="00790E7D"/>
    <w:rsid w:val="007917D2"/>
    <w:rsid w:val="00791AFC"/>
    <w:rsid w:val="00793259"/>
    <w:rsid w:val="007934CF"/>
    <w:rsid w:val="00793C21"/>
    <w:rsid w:val="00793C2C"/>
    <w:rsid w:val="00794545"/>
    <w:rsid w:val="0079485F"/>
    <w:rsid w:val="0079487A"/>
    <w:rsid w:val="00795E0D"/>
    <w:rsid w:val="0079639F"/>
    <w:rsid w:val="007963C9"/>
    <w:rsid w:val="007A0588"/>
    <w:rsid w:val="007A05C0"/>
    <w:rsid w:val="007A0F10"/>
    <w:rsid w:val="007A27C8"/>
    <w:rsid w:val="007A2EAB"/>
    <w:rsid w:val="007A2EC8"/>
    <w:rsid w:val="007A3683"/>
    <w:rsid w:val="007A5A65"/>
    <w:rsid w:val="007A5B40"/>
    <w:rsid w:val="007A6301"/>
    <w:rsid w:val="007A64FD"/>
    <w:rsid w:val="007B0628"/>
    <w:rsid w:val="007B1570"/>
    <w:rsid w:val="007B16D4"/>
    <w:rsid w:val="007B2ADD"/>
    <w:rsid w:val="007B366B"/>
    <w:rsid w:val="007B42AB"/>
    <w:rsid w:val="007B48AA"/>
    <w:rsid w:val="007B4E5D"/>
    <w:rsid w:val="007B5D1C"/>
    <w:rsid w:val="007B6367"/>
    <w:rsid w:val="007B644A"/>
    <w:rsid w:val="007B6A81"/>
    <w:rsid w:val="007B6BC7"/>
    <w:rsid w:val="007B740D"/>
    <w:rsid w:val="007B75DE"/>
    <w:rsid w:val="007B7F79"/>
    <w:rsid w:val="007C0C1D"/>
    <w:rsid w:val="007C1E37"/>
    <w:rsid w:val="007C229A"/>
    <w:rsid w:val="007C2866"/>
    <w:rsid w:val="007C2DE4"/>
    <w:rsid w:val="007C33C3"/>
    <w:rsid w:val="007C341C"/>
    <w:rsid w:val="007C37A7"/>
    <w:rsid w:val="007C38AF"/>
    <w:rsid w:val="007C38C0"/>
    <w:rsid w:val="007C3A2C"/>
    <w:rsid w:val="007C5882"/>
    <w:rsid w:val="007D13F2"/>
    <w:rsid w:val="007D2226"/>
    <w:rsid w:val="007D2845"/>
    <w:rsid w:val="007D29C6"/>
    <w:rsid w:val="007D2AEE"/>
    <w:rsid w:val="007D3155"/>
    <w:rsid w:val="007D3C2C"/>
    <w:rsid w:val="007D46CF"/>
    <w:rsid w:val="007D4834"/>
    <w:rsid w:val="007D6975"/>
    <w:rsid w:val="007D6AC4"/>
    <w:rsid w:val="007D6BD4"/>
    <w:rsid w:val="007D7EB4"/>
    <w:rsid w:val="007E006D"/>
    <w:rsid w:val="007E0508"/>
    <w:rsid w:val="007E13B0"/>
    <w:rsid w:val="007E241E"/>
    <w:rsid w:val="007E3369"/>
    <w:rsid w:val="007E336A"/>
    <w:rsid w:val="007E3AA0"/>
    <w:rsid w:val="007E4D20"/>
    <w:rsid w:val="007E5039"/>
    <w:rsid w:val="007E5D1B"/>
    <w:rsid w:val="007F1902"/>
    <w:rsid w:val="007F3280"/>
    <w:rsid w:val="007F3310"/>
    <w:rsid w:val="007F34A9"/>
    <w:rsid w:val="007F36B8"/>
    <w:rsid w:val="007F45A5"/>
    <w:rsid w:val="007F73BA"/>
    <w:rsid w:val="007F76D0"/>
    <w:rsid w:val="007F78A3"/>
    <w:rsid w:val="0080127A"/>
    <w:rsid w:val="0080183C"/>
    <w:rsid w:val="0080196E"/>
    <w:rsid w:val="00806192"/>
    <w:rsid w:val="00807EE5"/>
    <w:rsid w:val="00810273"/>
    <w:rsid w:val="00810520"/>
    <w:rsid w:val="008109AC"/>
    <w:rsid w:val="00812126"/>
    <w:rsid w:val="0081256E"/>
    <w:rsid w:val="00812FA9"/>
    <w:rsid w:val="00813E66"/>
    <w:rsid w:val="00814039"/>
    <w:rsid w:val="00814068"/>
    <w:rsid w:val="00815039"/>
    <w:rsid w:val="008154F2"/>
    <w:rsid w:val="00815A29"/>
    <w:rsid w:val="00815C33"/>
    <w:rsid w:val="00816C79"/>
    <w:rsid w:val="008173BF"/>
    <w:rsid w:val="008178EC"/>
    <w:rsid w:val="00817FC9"/>
    <w:rsid w:val="00820462"/>
    <w:rsid w:val="008215CC"/>
    <w:rsid w:val="00824B18"/>
    <w:rsid w:val="008252CB"/>
    <w:rsid w:val="008272A2"/>
    <w:rsid w:val="00830163"/>
    <w:rsid w:val="0083163E"/>
    <w:rsid w:val="00832202"/>
    <w:rsid w:val="00832283"/>
    <w:rsid w:val="00832B88"/>
    <w:rsid w:val="008339FF"/>
    <w:rsid w:val="00833A1C"/>
    <w:rsid w:val="00833D71"/>
    <w:rsid w:val="00834E9C"/>
    <w:rsid w:val="00835429"/>
    <w:rsid w:val="00835BDC"/>
    <w:rsid w:val="008362F1"/>
    <w:rsid w:val="00836982"/>
    <w:rsid w:val="00836A16"/>
    <w:rsid w:val="00836A82"/>
    <w:rsid w:val="00837783"/>
    <w:rsid w:val="0084055D"/>
    <w:rsid w:val="00840C29"/>
    <w:rsid w:val="00840E24"/>
    <w:rsid w:val="00841757"/>
    <w:rsid w:val="008417F1"/>
    <w:rsid w:val="008419D4"/>
    <w:rsid w:val="00841AD1"/>
    <w:rsid w:val="00841E34"/>
    <w:rsid w:val="00842841"/>
    <w:rsid w:val="008429CE"/>
    <w:rsid w:val="008431DF"/>
    <w:rsid w:val="0084326F"/>
    <w:rsid w:val="00843850"/>
    <w:rsid w:val="00843B21"/>
    <w:rsid w:val="008441D1"/>
    <w:rsid w:val="008442DE"/>
    <w:rsid w:val="00844EA6"/>
    <w:rsid w:val="008452AA"/>
    <w:rsid w:val="00847C42"/>
    <w:rsid w:val="00847D7B"/>
    <w:rsid w:val="00850AB3"/>
    <w:rsid w:val="00851020"/>
    <w:rsid w:val="00852249"/>
    <w:rsid w:val="00852761"/>
    <w:rsid w:val="00852844"/>
    <w:rsid w:val="00852A93"/>
    <w:rsid w:val="00853013"/>
    <w:rsid w:val="00853660"/>
    <w:rsid w:val="0085393A"/>
    <w:rsid w:val="00853F81"/>
    <w:rsid w:val="0085443E"/>
    <w:rsid w:val="0085493C"/>
    <w:rsid w:val="008564B1"/>
    <w:rsid w:val="008574D0"/>
    <w:rsid w:val="00860556"/>
    <w:rsid w:val="00860779"/>
    <w:rsid w:val="008612CE"/>
    <w:rsid w:val="008614D7"/>
    <w:rsid w:val="00861A0E"/>
    <w:rsid w:val="00861EAB"/>
    <w:rsid w:val="008624D6"/>
    <w:rsid w:val="008641AD"/>
    <w:rsid w:val="00864A94"/>
    <w:rsid w:val="0086635F"/>
    <w:rsid w:val="008669C6"/>
    <w:rsid w:val="00867267"/>
    <w:rsid w:val="00871C73"/>
    <w:rsid w:val="00871EFB"/>
    <w:rsid w:val="00872B3A"/>
    <w:rsid w:val="008735CB"/>
    <w:rsid w:val="008755C3"/>
    <w:rsid w:val="008755EF"/>
    <w:rsid w:val="00875A9C"/>
    <w:rsid w:val="00876F86"/>
    <w:rsid w:val="008804A2"/>
    <w:rsid w:val="00880536"/>
    <w:rsid w:val="00880A06"/>
    <w:rsid w:val="00880AA8"/>
    <w:rsid w:val="008812A8"/>
    <w:rsid w:val="008818E1"/>
    <w:rsid w:val="00881C34"/>
    <w:rsid w:val="00881EBE"/>
    <w:rsid w:val="00882F9C"/>
    <w:rsid w:val="0088431D"/>
    <w:rsid w:val="00884426"/>
    <w:rsid w:val="00884693"/>
    <w:rsid w:val="008855C4"/>
    <w:rsid w:val="008858E5"/>
    <w:rsid w:val="00886105"/>
    <w:rsid w:val="00887708"/>
    <w:rsid w:val="00887748"/>
    <w:rsid w:val="00887AC9"/>
    <w:rsid w:val="00890717"/>
    <w:rsid w:val="00890900"/>
    <w:rsid w:val="00890B9D"/>
    <w:rsid w:val="008910DD"/>
    <w:rsid w:val="008915D3"/>
    <w:rsid w:val="00891654"/>
    <w:rsid w:val="00891C68"/>
    <w:rsid w:val="008923C1"/>
    <w:rsid w:val="00892458"/>
    <w:rsid w:val="00892CE0"/>
    <w:rsid w:val="00896563"/>
    <w:rsid w:val="00896981"/>
    <w:rsid w:val="00897583"/>
    <w:rsid w:val="00897780"/>
    <w:rsid w:val="008A085B"/>
    <w:rsid w:val="008A1B3E"/>
    <w:rsid w:val="008A295C"/>
    <w:rsid w:val="008A2E7E"/>
    <w:rsid w:val="008A3DF4"/>
    <w:rsid w:val="008A4BDD"/>
    <w:rsid w:val="008A683D"/>
    <w:rsid w:val="008A7492"/>
    <w:rsid w:val="008B02A6"/>
    <w:rsid w:val="008B09C3"/>
    <w:rsid w:val="008B12FA"/>
    <w:rsid w:val="008B242F"/>
    <w:rsid w:val="008B40C6"/>
    <w:rsid w:val="008B4162"/>
    <w:rsid w:val="008B4BB7"/>
    <w:rsid w:val="008B5083"/>
    <w:rsid w:val="008B5409"/>
    <w:rsid w:val="008B5E32"/>
    <w:rsid w:val="008B6902"/>
    <w:rsid w:val="008B6D69"/>
    <w:rsid w:val="008B6DA8"/>
    <w:rsid w:val="008B7302"/>
    <w:rsid w:val="008B7B79"/>
    <w:rsid w:val="008C1916"/>
    <w:rsid w:val="008C1D1E"/>
    <w:rsid w:val="008C235D"/>
    <w:rsid w:val="008C2AD0"/>
    <w:rsid w:val="008C2BF6"/>
    <w:rsid w:val="008C33B2"/>
    <w:rsid w:val="008C4635"/>
    <w:rsid w:val="008C4662"/>
    <w:rsid w:val="008C5020"/>
    <w:rsid w:val="008C5038"/>
    <w:rsid w:val="008C6A94"/>
    <w:rsid w:val="008C6D14"/>
    <w:rsid w:val="008C768C"/>
    <w:rsid w:val="008C7D9E"/>
    <w:rsid w:val="008D05D2"/>
    <w:rsid w:val="008D1B2A"/>
    <w:rsid w:val="008D2D26"/>
    <w:rsid w:val="008D41BC"/>
    <w:rsid w:val="008D4238"/>
    <w:rsid w:val="008D52EA"/>
    <w:rsid w:val="008D53DF"/>
    <w:rsid w:val="008D567F"/>
    <w:rsid w:val="008D593F"/>
    <w:rsid w:val="008D73A5"/>
    <w:rsid w:val="008D787B"/>
    <w:rsid w:val="008E0774"/>
    <w:rsid w:val="008E1F01"/>
    <w:rsid w:val="008E28D2"/>
    <w:rsid w:val="008E2951"/>
    <w:rsid w:val="008E2C5F"/>
    <w:rsid w:val="008E345C"/>
    <w:rsid w:val="008E37BC"/>
    <w:rsid w:val="008E3A18"/>
    <w:rsid w:val="008E4013"/>
    <w:rsid w:val="008E4A2C"/>
    <w:rsid w:val="008E5992"/>
    <w:rsid w:val="008E5C4C"/>
    <w:rsid w:val="008E5C69"/>
    <w:rsid w:val="008E6D19"/>
    <w:rsid w:val="008E71F0"/>
    <w:rsid w:val="008E7544"/>
    <w:rsid w:val="008E7DD6"/>
    <w:rsid w:val="008F0041"/>
    <w:rsid w:val="008F0B1F"/>
    <w:rsid w:val="008F11A6"/>
    <w:rsid w:val="008F1A1E"/>
    <w:rsid w:val="008F1BD9"/>
    <w:rsid w:val="008F1C61"/>
    <w:rsid w:val="008F5330"/>
    <w:rsid w:val="008F539A"/>
    <w:rsid w:val="008F5F07"/>
    <w:rsid w:val="008F60AF"/>
    <w:rsid w:val="008F7984"/>
    <w:rsid w:val="00901240"/>
    <w:rsid w:val="00902ACD"/>
    <w:rsid w:val="00902F11"/>
    <w:rsid w:val="00903DC2"/>
    <w:rsid w:val="00904773"/>
    <w:rsid w:val="00904C7E"/>
    <w:rsid w:val="009050E8"/>
    <w:rsid w:val="00905398"/>
    <w:rsid w:val="0090661B"/>
    <w:rsid w:val="00910607"/>
    <w:rsid w:val="00910DAB"/>
    <w:rsid w:val="00911748"/>
    <w:rsid w:val="009125A8"/>
    <w:rsid w:val="00912FAA"/>
    <w:rsid w:val="00913514"/>
    <w:rsid w:val="00913BDC"/>
    <w:rsid w:val="00913EB5"/>
    <w:rsid w:val="00915943"/>
    <w:rsid w:val="0091607C"/>
    <w:rsid w:val="00916460"/>
    <w:rsid w:val="00916717"/>
    <w:rsid w:val="00916874"/>
    <w:rsid w:val="00917346"/>
    <w:rsid w:val="009178B8"/>
    <w:rsid w:val="009201EC"/>
    <w:rsid w:val="00920BA0"/>
    <w:rsid w:val="00921CC6"/>
    <w:rsid w:val="00922763"/>
    <w:rsid w:val="00923DED"/>
    <w:rsid w:val="00925081"/>
    <w:rsid w:val="0093036F"/>
    <w:rsid w:val="00930BC8"/>
    <w:rsid w:val="00931411"/>
    <w:rsid w:val="0093158D"/>
    <w:rsid w:val="00931AC7"/>
    <w:rsid w:val="009321FF"/>
    <w:rsid w:val="00932A3D"/>
    <w:rsid w:val="00932A4C"/>
    <w:rsid w:val="009344B5"/>
    <w:rsid w:val="00935055"/>
    <w:rsid w:val="00935890"/>
    <w:rsid w:val="00936995"/>
    <w:rsid w:val="00936E0F"/>
    <w:rsid w:val="00937ED3"/>
    <w:rsid w:val="00940142"/>
    <w:rsid w:val="00940F90"/>
    <w:rsid w:val="00941C53"/>
    <w:rsid w:val="00941CF2"/>
    <w:rsid w:val="00941F8D"/>
    <w:rsid w:val="00944627"/>
    <w:rsid w:val="00946B74"/>
    <w:rsid w:val="009471B5"/>
    <w:rsid w:val="009473EF"/>
    <w:rsid w:val="00951D94"/>
    <w:rsid w:val="00952890"/>
    <w:rsid w:val="0095302D"/>
    <w:rsid w:val="00953BA1"/>
    <w:rsid w:val="0095401C"/>
    <w:rsid w:val="00954103"/>
    <w:rsid w:val="009556DA"/>
    <w:rsid w:val="00955C53"/>
    <w:rsid w:val="009566D7"/>
    <w:rsid w:val="009568DE"/>
    <w:rsid w:val="00956C20"/>
    <w:rsid w:val="00957C1B"/>
    <w:rsid w:val="00960472"/>
    <w:rsid w:val="00960D05"/>
    <w:rsid w:val="009626C2"/>
    <w:rsid w:val="0096305B"/>
    <w:rsid w:val="009633A1"/>
    <w:rsid w:val="009638A3"/>
    <w:rsid w:val="00963C6C"/>
    <w:rsid w:val="00963D52"/>
    <w:rsid w:val="00963D77"/>
    <w:rsid w:val="00965173"/>
    <w:rsid w:val="00966C0D"/>
    <w:rsid w:val="00966D92"/>
    <w:rsid w:val="009671D0"/>
    <w:rsid w:val="00970A39"/>
    <w:rsid w:val="00971947"/>
    <w:rsid w:val="00972F34"/>
    <w:rsid w:val="0097303C"/>
    <w:rsid w:val="009733F4"/>
    <w:rsid w:val="009740EF"/>
    <w:rsid w:val="00974747"/>
    <w:rsid w:val="0097516D"/>
    <w:rsid w:val="00975DF8"/>
    <w:rsid w:val="00975F2F"/>
    <w:rsid w:val="00976D30"/>
    <w:rsid w:val="009827E0"/>
    <w:rsid w:val="009828C1"/>
    <w:rsid w:val="00983109"/>
    <w:rsid w:val="0098423B"/>
    <w:rsid w:val="00984335"/>
    <w:rsid w:val="00984FE9"/>
    <w:rsid w:val="00986337"/>
    <w:rsid w:val="00986BEA"/>
    <w:rsid w:val="00992238"/>
    <w:rsid w:val="00992922"/>
    <w:rsid w:val="00992B9F"/>
    <w:rsid w:val="00992E53"/>
    <w:rsid w:val="009934ED"/>
    <w:rsid w:val="00993876"/>
    <w:rsid w:val="00993995"/>
    <w:rsid w:val="00995595"/>
    <w:rsid w:val="00995994"/>
    <w:rsid w:val="00995D6B"/>
    <w:rsid w:val="00996BB2"/>
    <w:rsid w:val="00996F7C"/>
    <w:rsid w:val="0099709B"/>
    <w:rsid w:val="009A05EA"/>
    <w:rsid w:val="009A0C55"/>
    <w:rsid w:val="009A15C2"/>
    <w:rsid w:val="009A18D0"/>
    <w:rsid w:val="009A1996"/>
    <w:rsid w:val="009A1FD0"/>
    <w:rsid w:val="009A21DE"/>
    <w:rsid w:val="009A289B"/>
    <w:rsid w:val="009A3050"/>
    <w:rsid w:val="009A3483"/>
    <w:rsid w:val="009A4D84"/>
    <w:rsid w:val="009A542A"/>
    <w:rsid w:val="009A5B37"/>
    <w:rsid w:val="009A611B"/>
    <w:rsid w:val="009A6348"/>
    <w:rsid w:val="009A68C6"/>
    <w:rsid w:val="009A6DB0"/>
    <w:rsid w:val="009B050C"/>
    <w:rsid w:val="009B0B89"/>
    <w:rsid w:val="009B169D"/>
    <w:rsid w:val="009B21E8"/>
    <w:rsid w:val="009B4832"/>
    <w:rsid w:val="009B6108"/>
    <w:rsid w:val="009B6203"/>
    <w:rsid w:val="009B791D"/>
    <w:rsid w:val="009B7AA0"/>
    <w:rsid w:val="009C047E"/>
    <w:rsid w:val="009C1114"/>
    <w:rsid w:val="009C1450"/>
    <w:rsid w:val="009C182E"/>
    <w:rsid w:val="009C1916"/>
    <w:rsid w:val="009C20F0"/>
    <w:rsid w:val="009C349B"/>
    <w:rsid w:val="009C3C8C"/>
    <w:rsid w:val="009C46AE"/>
    <w:rsid w:val="009C4E50"/>
    <w:rsid w:val="009C7A92"/>
    <w:rsid w:val="009D034F"/>
    <w:rsid w:val="009D150D"/>
    <w:rsid w:val="009D1D17"/>
    <w:rsid w:val="009D28E1"/>
    <w:rsid w:val="009D4BDD"/>
    <w:rsid w:val="009D4D49"/>
    <w:rsid w:val="009D6B80"/>
    <w:rsid w:val="009D76A6"/>
    <w:rsid w:val="009E0CF6"/>
    <w:rsid w:val="009E19A2"/>
    <w:rsid w:val="009E2CDD"/>
    <w:rsid w:val="009E32C0"/>
    <w:rsid w:val="009E3308"/>
    <w:rsid w:val="009E3495"/>
    <w:rsid w:val="009E3638"/>
    <w:rsid w:val="009E42FF"/>
    <w:rsid w:val="009E4835"/>
    <w:rsid w:val="009E4C17"/>
    <w:rsid w:val="009E4DB7"/>
    <w:rsid w:val="009E5B54"/>
    <w:rsid w:val="009E619A"/>
    <w:rsid w:val="009E7A30"/>
    <w:rsid w:val="009E7D34"/>
    <w:rsid w:val="009F0F87"/>
    <w:rsid w:val="009F1D6E"/>
    <w:rsid w:val="009F2AE4"/>
    <w:rsid w:val="009F2F81"/>
    <w:rsid w:val="009F461F"/>
    <w:rsid w:val="009F4FD9"/>
    <w:rsid w:val="009F50A8"/>
    <w:rsid w:val="009F50C7"/>
    <w:rsid w:val="009F524E"/>
    <w:rsid w:val="009F6D6A"/>
    <w:rsid w:val="009F74C7"/>
    <w:rsid w:val="009F7CB6"/>
    <w:rsid w:val="00A01C4C"/>
    <w:rsid w:val="00A01EB0"/>
    <w:rsid w:val="00A02692"/>
    <w:rsid w:val="00A0276B"/>
    <w:rsid w:val="00A02A17"/>
    <w:rsid w:val="00A02CA1"/>
    <w:rsid w:val="00A0308D"/>
    <w:rsid w:val="00A03468"/>
    <w:rsid w:val="00A0415D"/>
    <w:rsid w:val="00A0454B"/>
    <w:rsid w:val="00A04D28"/>
    <w:rsid w:val="00A05735"/>
    <w:rsid w:val="00A066CA"/>
    <w:rsid w:val="00A067E6"/>
    <w:rsid w:val="00A069C6"/>
    <w:rsid w:val="00A06B12"/>
    <w:rsid w:val="00A06C64"/>
    <w:rsid w:val="00A107DD"/>
    <w:rsid w:val="00A11289"/>
    <w:rsid w:val="00A11544"/>
    <w:rsid w:val="00A11BCD"/>
    <w:rsid w:val="00A11FE7"/>
    <w:rsid w:val="00A1321D"/>
    <w:rsid w:val="00A13776"/>
    <w:rsid w:val="00A13D8A"/>
    <w:rsid w:val="00A1403B"/>
    <w:rsid w:val="00A142E2"/>
    <w:rsid w:val="00A15331"/>
    <w:rsid w:val="00A166C2"/>
    <w:rsid w:val="00A173E7"/>
    <w:rsid w:val="00A173FA"/>
    <w:rsid w:val="00A20454"/>
    <w:rsid w:val="00A207D4"/>
    <w:rsid w:val="00A20D6E"/>
    <w:rsid w:val="00A214FE"/>
    <w:rsid w:val="00A215C0"/>
    <w:rsid w:val="00A2190D"/>
    <w:rsid w:val="00A21936"/>
    <w:rsid w:val="00A21B44"/>
    <w:rsid w:val="00A22546"/>
    <w:rsid w:val="00A23BC4"/>
    <w:rsid w:val="00A23D2E"/>
    <w:rsid w:val="00A24B0A"/>
    <w:rsid w:val="00A263E4"/>
    <w:rsid w:val="00A269DF"/>
    <w:rsid w:val="00A27738"/>
    <w:rsid w:val="00A27877"/>
    <w:rsid w:val="00A27FEC"/>
    <w:rsid w:val="00A30AA5"/>
    <w:rsid w:val="00A30FB8"/>
    <w:rsid w:val="00A31204"/>
    <w:rsid w:val="00A32D6D"/>
    <w:rsid w:val="00A342EB"/>
    <w:rsid w:val="00A34913"/>
    <w:rsid w:val="00A34BE3"/>
    <w:rsid w:val="00A3565C"/>
    <w:rsid w:val="00A369D5"/>
    <w:rsid w:val="00A36AF2"/>
    <w:rsid w:val="00A36CAA"/>
    <w:rsid w:val="00A372EA"/>
    <w:rsid w:val="00A37922"/>
    <w:rsid w:val="00A40519"/>
    <w:rsid w:val="00A4118B"/>
    <w:rsid w:val="00A4138E"/>
    <w:rsid w:val="00A42FAC"/>
    <w:rsid w:val="00A430DA"/>
    <w:rsid w:val="00A43FF6"/>
    <w:rsid w:val="00A444B7"/>
    <w:rsid w:val="00A4491A"/>
    <w:rsid w:val="00A44B00"/>
    <w:rsid w:val="00A45705"/>
    <w:rsid w:val="00A46696"/>
    <w:rsid w:val="00A47665"/>
    <w:rsid w:val="00A47D01"/>
    <w:rsid w:val="00A5067B"/>
    <w:rsid w:val="00A51655"/>
    <w:rsid w:val="00A51F88"/>
    <w:rsid w:val="00A523FA"/>
    <w:rsid w:val="00A535AA"/>
    <w:rsid w:val="00A549DF"/>
    <w:rsid w:val="00A54A3C"/>
    <w:rsid w:val="00A575CB"/>
    <w:rsid w:val="00A577AC"/>
    <w:rsid w:val="00A60C94"/>
    <w:rsid w:val="00A60CD7"/>
    <w:rsid w:val="00A62BBD"/>
    <w:rsid w:val="00A63CD1"/>
    <w:rsid w:val="00A6527C"/>
    <w:rsid w:val="00A66817"/>
    <w:rsid w:val="00A6756B"/>
    <w:rsid w:val="00A72588"/>
    <w:rsid w:val="00A72AE6"/>
    <w:rsid w:val="00A73357"/>
    <w:rsid w:val="00A73CAB"/>
    <w:rsid w:val="00A74004"/>
    <w:rsid w:val="00A7498F"/>
    <w:rsid w:val="00A764F0"/>
    <w:rsid w:val="00A769CA"/>
    <w:rsid w:val="00A76A5B"/>
    <w:rsid w:val="00A8017D"/>
    <w:rsid w:val="00A80590"/>
    <w:rsid w:val="00A80D90"/>
    <w:rsid w:val="00A812DF"/>
    <w:rsid w:val="00A817C2"/>
    <w:rsid w:val="00A827F9"/>
    <w:rsid w:val="00A83EA6"/>
    <w:rsid w:val="00A83EDA"/>
    <w:rsid w:val="00A83F39"/>
    <w:rsid w:val="00A83FBB"/>
    <w:rsid w:val="00A842FC"/>
    <w:rsid w:val="00A84B6C"/>
    <w:rsid w:val="00A85355"/>
    <w:rsid w:val="00A86593"/>
    <w:rsid w:val="00A875A9"/>
    <w:rsid w:val="00A90599"/>
    <w:rsid w:val="00A92BB9"/>
    <w:rsid w:val="00A93E73"/>
    <w:rsid w:val="00A958E5"/>
    <w:rsid w:val="00A95C34"/>
    <w:rsid w:val="00A96867"/>
    <w:rsid w:val="00A96DEF"/>
    <w:rsid w:val="00A973AA"/>
    <w:rsid w:val="00A973C7"/>
    <w:rsid w:val="00A97E56"/>
    <w:rsid w:val="00AA098A"/>
    <w:rsid w:val="00AA0ACA"/>
    <w:rsid w:val="00AA1435"/>
    <w:rsid w:val="00AA1477"/>
    <w:rsid w:val="00AA1D93"/>
    <w:rsid w:val="00AA2D9E"/>
    <w:rsid w:val="00AA2F51"/>
    <w:rsid w:val="00AA37A8"/>
    <w:rsid w:val="00AA4DEE"/>
    <w:rsid w:val="00AA5259"/>
    <w:rsid w:val="00AA5E97"/>
    <w:rsid w:val="00AA5EF8"/>
    <w:rsid w:val="00AA6288"/>
    <w:rsid w:val="00AA7E92"/>
    <w:rsid w:val="00AB10BF"/>
    <w:rsid w:val="00AB142B"/>
    <w:rsid w:val="00AB1B5F"/>
    <w:rsid w:val="00AB3044"/>
    <w:rsid w:val="00AB3F5A"/>
    <w:rsid w:val="00AB437F"/>
    <w:rsid w:val="00AB46F5"/>
    <w:rsid w:val="00AB4F69"/>
    <w:rsid w:val="00AB5BD5"/>
    <w:rsid w:val="00AB6841"/>
    <w:rsid w:val="00AB6A00"/>
    <w:rsid w:val="00AB7BFA"/>
    <w:rsid w:val="00AB7E9A"/>
    <w:rsid w:val="00AC1AF6"/>
    <w:rsid w:val="00AC24B3"/>
    <w:rsid w:val="00AC6278"/>
    <w:rsid w:val="00AC715D"/>
    <w:rsid w:val="00AC7270"/>
    <w:rsid w:val="00AD0373"/>
    <w:rsid w:val="00AD068D"/>
    <w:rsid w:val="00AD2467"/>
    <w:rsid w:val="00AD2777"/>
    <w:rsid w:val="00AD35A0"/>
    <w:rsid w:val="00AD54BA"/>
    <w:rsid w:val="00AD555D"/>
    <w:rsid w:val="00AD58F4"/>
    <w:rsid w:val="00AD5D37"/>
    <w:rsid w:val="00AD625B"/>
    <w:rsid w:val="00AD663E"/>
    <w:rsid w:val="00AD6AD0"/>
    <w:rsid w:val="00AD6B03"/>
    <w:rsid w:val="00AD6F0B"/>
    <w:rsid w:val="00AD7596"/>
    <w:rsid w:val="00AE0045"/>
    <w:rsid w:val="00AE0334"/>
    <w:rsid w:val="00AE356B"/>
    <w:rsid w:val="00AE3A45"/>
    <w:rsid w:val="00AE4766"/>
    <w:rsid w:val="00AE4E14"/>
    <w:rsid w:val="00AE593B"/>
    <w:rsid w:val="00AE5A24"/>
    <w:rsid w:val="00AE5AAF"/>
    <w:rsid w:val="00AE5E5F"/>
    <w:rsid w:val="00AE67DA"/>
    <w:rsid w:val="00AE7919"/>
    <w:rsid w:val="00AE7D5A"/>
    <w:rsid w:val="00AF0FDD"/>
    <w:rsid w:val="00AF14FC"/>
    <w:rsid w:val="00AF1DBA"/>
    <w:rsid w:val="00AF1DC0"/>
    <w:rsid w:val="00AF2CD5"/>
    <w:rsid w:val="00AF4A72"/>
    <w:rsid w:val="00AF4D30"/>
    <w:rsid w:val="00AF5F16"/>
    <w:rsid w:val="00AF5F1E"/>
    <w:rsid w:val="00AF65A0"/>
    <w:rsid w:val="00B00BCB"/>
    <w:rsid w:val="00B00D0B"/>
    <w:rsid w:val="00B02494"/>
    <w:rsid w:val="00B025E9"/>
    <w:rsid w:val="00B02A0E"/>
    <w:rsid w:val="00B04474"/>
    <w:rsid w:val="00B04DB7"/>
    <w:rsid w:val="00B06608"/>
    <w:rsid w:val="00B07142"/>
    <w:rsid w:val="00B0735E"/>
    <w:rsid w:val="00B10428"/>
    <w:rsid w:val="00B10DBB"/>
    <w:rsid w:val="00B1190B"/>
    <w:rsid w:val="00B1247E"/>
    <w:rsid w:val="00B127EE"/>
    <w:rsid w:val="00B1384D"/>
    <w:rsid w:val="00B146E9"/>
    <w:rsid w:val="00B15130"/>
    <w:rsid w:val="00B15613"/>
    <w:rsid w:val="00B209F8"/>
    <w:rsid w:val="00B20D8B"/>
    <w:rsid w:val="00B216C4"/>
    <w:rsid w:val="00B21D34"/>
    <w:rsid w:val="00B2226B"/>
    <w:rsid w:val="00B22C0B"/>
    <w:rsid w:val="00B22E80"/>
    <w:rsid w:val="00B245D8"/>
    <w:rsid w:val="00B250C5"/>
    <w:rsid w:val="00B275DB"/>
    <w:rsid w:val="00B27FAE"/>
    <w:rsid w:val="00B304CE"/>
    <w:rsid w:val="00B31C3E"/>
    <w:rsid w:val="00B32592"/>
    <w:rsid w:val="00B32758"/>
    <w:rsid w:val="00B32EF7"/>
    <w:rsid w:val="00B33533"/>
    <w:rsid w:val="00B338F2"/>
    <w:rsid w:val="00B34D5C"/>
    <w:rsid w:val="00B36CB5"/>
    <w:rsid w:val="00B371EC"/>
    <w:rsid w:val="00B373F0"/>
    <w:rsid w:val="00B37E71"/>
    <w:rsid w:val="00B40B0E"/>
    <w:rsid w:val="00B43064"/>
    <w:rsid w:val="00B43A11"/>
    <w:rsid w:val="00B5001E"/>
    <w:rsid w:val="00B516D7"/>
    <w:rsid w:val="00B51F08"/>
    <w:rsid w:val="00B524CB"/>
    <w:rsid w:val="00B538D6"/>
    <w:rsid w:val="00B53DD7"/>
    <w:rsid w:val="00B55123"/>
    <w:rsid w:val="00B5542D"/>
    <w:rsid w:val="00B56088"/>
    <w:rsid w:val="00B56495"/>
    <w:rsid w:val="00B56766"/>
    <w:rsid w:val="00B571F8"/>
    <w:rsid w:val="00B60352"/>
    <w:rsid w:val="00B606DC"/>
    <w:rsid w:val="00B60EF1"/>
    <w:rsid w:val="00B61B65"/>
    <w:rsid w:val="00B63257"/>
    <w:rsid w:val="00B6413B"/>
    <w:rsid w:val="00B64273"/>
    <w:rsid w:val="00B6429A"/>
    <w:rsid w:val="00B646F2"/>
    <w:rsid w:val="00B647F7"/>
    <w:rsid w:val="00B66E18"/>
    <w:rsid w:val="00B673C7"/>
    <w:rsid w:val="00B675AB"/>
    <w:rsid w:val="00B70DDE"/>
    <w:rsid w:val="00B71190"/>
    <w:rsid w:val="00B729A5"/>
    <w:rsid w:val="00B72F0B"/>
    <w:rsid w:val="00B731A8"/>
    <w:rsid w:val="00B7386C"/>
    <w:rsid w:val="00B7449A"/>
    <w:rsid w:val="00B74CA7"/>
    <w:rsid w:val="00B75E34"/>
    <w:rsid w:val="00B76A3A"/>
    <w:rsid w:val="00B76C26"/>
    <w:rsid w:val="00B76EF0"/>
    <w:rsid w:val="00B8083B"/>
    <w:rsid w:val="00B8107B"/>
    <w:rsid w:val="00B823A3"/>
    <w:rsid w:val="00B8326B"/>
    <w:rsid w:val="00B8376E"/>
    <w:rsid w:val="00B83B0C"/>
    <w:rsid w:val="00B8405A"/>
    <w:rsid w:val="00B846F1"/>
    <w:rsid w:val="00B84759"/>
    <w:rsid w:val="00B84E7E"/>
    <w:rsid w:val="00B853ED"/>
    <w:rsid w:val="00B85544"/>
    <w:rsid w:val="00B868FA"/>
    <w:rsid w:val="00B86A23"/>
    <w:rsid w:val="00B86A72"/>
    <w:rsid w:val="00B8790F"/>
    <w:rsid w:val="00B87AAE"/>
    <w:rsid w:val="00B87D7E"/>
    <w:rsid w:val="00B91137"/>
    <w:rsid w:val="00B91279"/>
    <w:rsid w:val="00B919E0"/>
    <w:rsid w:val="00B92253"/>
    <w:rsid w:val="00B924D4"/>
    <w:rsid w:val="00B92F58"/>
    <w:rsid w:val="00B94F15"/>
    <w:rsid w:val="00B95435"/>
    <w:rsid w:val="00B9712E"/>
    <w:rsid w:val="00BA0440"/>
    <w:rsid w:val="00BA0D42"/>
    <w:rsid w:val="00BA2DA2"/>
    <w:rsid w:val="00BA38A6"/>
    <w:rsid w:val="00BA468E"/>
    <w:rsid w:val="00BA5137"/>
    <w:rsid w:val="00BA5415"/>
    <w:rsid w:val="00BA6E69"/>
    <w:rsid w:val="00BA7429"/>
    <w:rsid w:val="00BA7822"/>
    <w:rsid w:val="00BB2081"/>
    <w:rsid w:val="00BB34F0"/>
    <w:rsid w:val="00BB350B"/>
    <w:rsid w:val="00BB3DAC"/>
    <w:rsid w:val="00BB4B22"/>
    <w:rsid w:val="00BB74BD"/>
    <w:rsid w:val="00BB78B2"/>
    <w:rsid w:val="00BB7CB8"/>
    <w:rsid w:val="00BB7FF2"/>
    <w:rsid w:val="00BC0E2B"/>
    <w:rsid w:val="00BC2260"/>
    <w:rsid w:val="00BC2C0A"/>
    <w:rsid w:val="00BC2F72"/>
    <w:rsid w:val="00BC340C"/>
    <w:rsid w:val="00BC371F"/>
    <w:rsid w:val="00BC39DC"/>
    <w:rsid w:val="00BC4403"/>
    <w:rsid w:val="00BC4821"/>
    <w:rsid w:val="00BC5725"/>
    <w:rsid w:val="00BC678A"/>
    <w:rsid w:val="00BC786F"/>
    <w:rsid w:val="00BD02A0"/>
    <w:rsid w:val="00BD062D"/>
    <w:rsid w:val="00BD08D1"/>
    <w:rsid w:val="00BD0AC1"/>
    <w:rsid w:val="00BD1FB1"/>
    <w:rsid w:val="00BD441A"/>
    <w:rsid w:val="00BD4B92"/>
    <w:rsid w:val="00BD57A8"/>
    <w:rsid w:val="00BD59FB"/>
    <w:rsid w:val="00BD6B54"/>
    <w:rsid w:val="00BE24EB"/>
    <w:rsid w:val="00BE27C5"/>
    <w:rsid w:val="00BE298E"/>
    <w:rsid w:val="00BE299A"/>
    <w:rsid w:val="00BE344B"/>
    <w:rsid w:val="00BE3CF3"/>
    <w:rsid w:val="00BE404A"/>
    <w:rsid w:val="00BE5601"/>
    <w:rsid w:val="00BE5B23"/>
    <w:rsid w:val="00BE5BAF"/>
    <w:rsid w:val="00BE5DBA"/>
    <w:rsid w:val="00BE68D8"/>
    <w:rsid w:val="00BE6D04"/>
    <w:rsid w:val="00BE7104"/>
    <w:rsid w:val="00BE7EE3"/>
    <w:rsid w:val="00BF26AA"/>
    <w:rsid w:val="00BF33B3"/>
    <w:rsid w:val="00BF6638"/>
    <w:rsid w:val="00BF6871"/>
    <w:rsid w:val="00BF6A28"/>
    <w:rsid w:val="00BF71B0"/>
    <w:rsid w:val="00C0116B"/>
    <w:rsid w:val="00C018D2"/>
    <w:rsid w:val="00C04226"/>
    <w:rsid w:val="00C0451D"/>
    <w:rsid w:val="00C0742E"/>
    <w:rsid w:val="00C07531"/>
    <w:rsid w:val="00C07585"/>
    <w:rsid w:val="00C07FA2"/>
    <w:rsid w:val="00C10436"/>
    <w:rsid w:val="00C10AC5"/>
    <w:rsid w:val="00C10C8A"/>
    <w:rsid w:val="00C1149C"/>
    <w:rsid w:val="00C12843"/>
    <w:rsid w:val="00C1306E"/>
    <w:rsid w:val="00C1312F"/>
    <w:rsid w:val="00C1528E"/>
    <w:rsid w:val="00C155DA"/>
    <w:rsid w:val="00C159E8"/>
    <w:rsid w:val="00C16248"/>
    <w:rsid w:val="00C1681D"/>
    <w:rsid w:val="00C176EA"/>
    <w:rsid w:val="00C21737"/>
    <w:rsid w:val="00C21786"/>
    <w:rsid w:val="00C219DB"/>
    <w:rsid w:val="00C2277F"/>
    <w:rsid w:val="00C2313E"/>
    <w:rsid w:val="00C24819"/>
    <w:rsid w:val="00C26E74"/>
    <w:rsid w:val="00C272E4"/>
    <w:rsid w:val="00C30644"/>
    <w:rsid w:val="00C31328"/>
    <w:rsid w:val="00C317C2"/>
    <w:rsid w:val="00C33B4F"/>
    <w:rsid w:val="00C35055"/>
    <w:rsid w:val="00C37167"/>
    <w:rsid w:val="00C4030E"/>
    <w:rsid w:val="00C40E9D"/>
    <w:rsid w:val="00C41190"/>
    <w:rsid w:val="00C41677"/>
    <w:rsid w:val="00C418F9"/>
    <w:rsid w:val="00C41C59"/>
    <w:rsid w:val="00C43DF6"/>
    <w:rsid w:val="00C43EDD"/>
    <w:rsid w:val="00C449C5"/>
    <w:rsid w:val="00C44AE0"/>
    <w:rsid w:val="00C45219"/>
    <w:rsid w:val="00C45CBC"/>
    <w:rsid w:val="00C46499"/>
    <w:rsid w:val="00C466AF"/>
    <w:rsid w:val="00C50B90"/>
    <w:rsid w:val="00C52BA3"/>
    <w:rsid w:val="00C530DA"/>
    <w:rsid w:val="00C53AC4"/>
    <w:rsid w:val="00C53CD0"/>
    <w:rsid w:val="00C54212"/>
    <w:rsid w:val="00C54E28"/>
    <w:rsid w:val="00C5614C"/>
    <w:rsid w:val="00C564A7"/>
    <w:rsid w:val="00C56993"/>
    <w:rsid w:val="00C6132B"/>
    <w:rsid w:val="00C6275F"/>
    <w:rsid w:val="00C62C85"/>
    <w:rsid w:val="00C6328C"/>
    <w:rsid w:val="00C637B1"/>
    <w:rsid w:val="00C63C1A"/>
    <w:rsid w:val="00C63D5E"/>
    <w:rsid w:val="00C642C2"/>
    <w:rsid w:val="00C6442A"/>
    <w:rsid w:val="00C6486C"/>
    <w:rsid w:val="00C672A5"/>
    <w:rsid w:val="00C67A8C"/>
    <w:rsid w:val="00C67B59"/>
    <w:rsid w:val="00C70C0A"/>
    <w:rsid w:val="00C70F03"/>
    <w:rsid w:val="00C715D0"/>
    <w:rsid w:val="00C72216"/>
    <w:rsid w:val="00C7309E"/>
    <w:rsid w:val="00C73564"/>
    <w:rsid w:val="00C7372E"/>
    <w:rsid w:val="00C742CE"/>
    <w:rsid w:val="00C747C6"/>
    <w:rsid w:val="00C748C5"/>
    <w:rsid w:val="00C74CF3"/>
    <w:rsid w:val="00C7599C"/>
    <w:rsid w:val="00C769DD"/>
    <w:rsid w:val="00C770EE"/>
    <w:rsid w:val="00C77B92"/>
    <w:rsid w:val="00C77BF4"/>
    <w:rsid w:val="00C81A1B"/>
    <w:rsid w:val="00C81DD1"/>
    <w:rsid w:val="00C83D8B"/>
    <w:rsid w:val="00C84A84"/>
    <w:rsid w:val="00C874CD"/>
    <w:rsid w:val="00C87C1E"/>
    <w:rsid w:val="00C90295"/>
    <w:rsid w:val="00C90B38"/>
    <w:rsid w:val="00C90DC8"/>
    <w:rsid w:val="00C9185F"/>
    <w:rsid w:val="00C9288D"/>
    <w:rsid w:val="00C929D6"/>
    <w:rsid w:val="00C92BE5"/>
    <w:rsid w:val="00C9367C"/>
    <w:rsid w:val="00C93988"/>
    <w:rsid w:val="00C93B59"/>
    <w:rsid w:val="00C94DE5"/>
    <w:rsid w:val="00C95841"/>
    <w:rsid w:val="00C9723C"/>
    <w:rsid w:val="00C974BB"/>
    <w:rsid w:val="00C97B46"/>
    <w:rsid w:val="00CA013E"/>
    <w:rsid w:val="00CA1321"/>
    <w:rsid w:val="00CA190D"/>
    <w:rsid w:val="00CA1BDA"/>
    <w:rsid w:val="00CA298B"/>
    <w:rsid w:val="00CA2D27"/>
    <w:rsid w:val="00CA3437"/>
    <w:rsid w:val="00CA355F"/>
    <w:rsid w:val="00CA3678"/>
    <w:rsid w:val="00CA59C7"/>
    <w:rsid w:val="00CA756F"/>
    <w:rsid w:val="00CA79DF"/>
    <w:rsid w:val="00CA7C14"/>
    <w:rsid w:val="00CB0A32"/>
    <w:rsid w:val="00CB0BB9"/>
    <w:rsid w:val="00CB0F02"/>
    <w:rsid w:val="00CB1581"/>
    <w:rsid w:val="00CB1DD7"/>
    <w:rsid w:val="00CB21AD"/>
    <w:rsid w:val="00CB2753"/>
    <w:rsid w:val="00CB2E01"/>
    <w:rsid w:val="00CB40CF"/>
    <w:rsid w:val="00CB63F5"/>
    <w:rsid w:val="00CB70C4"/>
    <w:rsid w:val="00CB77F4"/>
    <w:rsid w:val="00CC07C5"/>
    <w:rsid w:val="00CC0976"/>
    <w:rsid w:val="00CC2C66"/>
    <w:rsid w:val="00CC4EAE"/>
    <w:rsid w:val="00CC534B"/>
    <w:rsid w:val="00CC5B58"/>
    <w:rsid w:val="00CC6766"/>
    <w:rsid w:val="00CC6FC5"/>
    <w:rsid w:val="00CC72AC"/>
    <w:rsid w:val="00CC7C35"/>
    <w:rsid w:val="00CD0837"/>
    <w:rsid w:val="00CD12DF"/>
    <w:rsid w:val="00CD1C38"/>
    <w:rsid w:val="00CD2BF7"/>
    <w:rsid w:val="00CD35A7"/>
    <w:rsid w:val="00CD3DBF"/>
    <w:rsid w:val="00CD3E2F"/>
    <w:rsid w:val="00CD62C8"/>
    <w:rsid w:val="00CD64D6"/>
    <w:rsid w:val="00CD675B"/>
    <w:rsid w:val="00CD6DC4"/>
    <w:rsid w:val="00CD73AC"/>
    <w:rsid w:val="00CD76D5"/>
    <w:rsid w:val="00CD7C7F"/>
    <w:rsid w:val="00CE158E"/>
    <w:rsid w:val="00CE21D1"/>
    <w:rsid w:val="00CE2355"/>
    <w:rsid w:val="00CE25F9"/>
    <w:rsid w:val="00CE269C"/>
    <w:rsid w:val="00CE3E6D"/>
    <w:rsid w:val="00CE5534"/>
    <w:rsid w:val="00CE56E4"/>
    <w:rsid w:val="00CE5867"/>
    <w:rsid w:val="00CE637F"/>
    <w:rsid w:val="00CE63B7"/>
    <w:rsid w:val="00CE6702"/>
    <w:rsid w:val="00CE6B15"/>
    <w:rsid w:val="00CE6DAD"/>
    <w:rsid w:val="00CE6F39"/>
    <w:rsid w:val="00CE740B"/>
    <w:rsid w:val="00CE7838"/>
    <w:rsid w:val="00CE79D3"/>
    <w:rsid w:val="00CE7C0A"/>
    <w:rsid w:val="00CF1440"/>
    <w:rsid w:val="00CF184B"/>
    <w:rsid w:val="00CF2CBB"/>
    <w:rsid w:val="00CF36B7"/>
    <w:rsid w:val="00CF3C94"/>
    <w:rsid w:val="00CF574A"/>
    <w:rsid w:val="00CF6185"/>
    <w:rsid w:val="00CF633E"/>
    <w:rsid w:val="00CF7371"/>
    <w:rsid w:val="00CF75D0"/>
    <w:rsid w:val="00CF78FB"/>
    <w:rsid w:val="00CF7D76"/>
    <w:rsid w:val="00D000EA"/>
    <w:rsid w:val="00D0046F"/>
    <w:rsid w:val="00D0087B"/>
    <w:rsid w:val="00D02163"/>
    <w:rsid w:val="00D028E1"/>
    <w:rsid w:val="00D05BF2"/>
    <w:rsid w:val="00D06B65"/>
    <w:rsid w:val="00D07744"/>
    <w:rsid w:val="00D07B8E"/>
    <w:rsid w:val="00D07B94"/>
    <w:rsid w:val="00D11559"/>
    <w:rsid w:val="00D11E44"/>
    <w:rsid w:val="00D11E6B"/>
    <w:rsid w:val="00D1380B"/>
    <w:rsid w:val="00D14B78"/>
    <w:rsid w:val="00D15FF8"/>
    <w:rsid w:val="00D167CA"/>
    <w:rsid w:val="00D16E06"/>
    <w:rsid w:val="00D176F3"/>
    <w:rsid w:val="00D202A7"/>
    <w:rsid w:val="00D212C2"/>
    <w:rsid w:val="00D21CAF"/>
    <w:rsid w:val="00D227DA"/>
    <w:rsid w:val="00D228C1"/>
    <w:rsid w:val="00D22C66"/>
    <w:rsid w:val="00D2391E"/>
    <w:rsid w:val="00D24166"/>
    <w:rsid w:val="00D24AF9"/>
    <w:rsid w:val="00D24CC0"/>
    <w:rsid w:val="00D24EFB"/>
    <w:rsid w:val="00D251C6"/>
    <w:rsid w:val="00D26D95"/>
    <w:rsid w:val="00D26EB7"/>
    <w:rsid w:val="00D27D45"/>
    <w:rsid w:val="00D34108"/>
    <w:rsid w:val="00D3487D"/>
    <w:rsid w:val="00D359D6"/>
    <w:rsid w:val="00D367D3"/>
    <w:rsid w:val="00D37C02"/>
    <w:rsid w:val="00D40FF5"/>
    <w:rsid w:val="00D419E2"/>
    <w:rsid w:val="00D427A4"/>
    <w:rsid w:val="00D436DA"/>
    <w:rsid w:val="00D44586"/>
    <w:rsid w:val="00D47027"/>
    <w:rsid w:val="00D47833"/>
    <w:rsid w:val="00D47DFC"/>
    <w:rsid w:val="00D505AD"/>
    <w:rsid w:val="00D5181B"/>
    <w:rsid w:val="00D53671"/>
    <w:rsid w:val="00D540E5"/>
    <w:rsid w:val="00D55DE2"/>
    <w:rsid w:val="00D57046"/>
    <w:rsid w:val="00D57585"/>
    <w:rsid w:val="00D60238"/>
    <w:rsid w:val="00D6125C"/>
    <w:rsid w:val="00D622A0"/>
    <w:rsid w:val="00D62C76"/>
    <w:rsid w:val="00D633B8"/>
    <w:rsid w:val="00D6352A"/>
    <w:rsid w:val="00D6363B"/>
    <w:rsid w:val="00D6387A"/>
    <w:rsid w:val="00D63C8C"/>
    <w:rsid w:val="00D63D4E"/>
    <w:rsid w:val="00D644C4"/>
    <w:rsid w:val="00D64792"/>
    <w:rsid w:val="00D65059"/>
    <w:rsid w:val="00D6553B"/>
    <w:rsid w:val="00D655EF"/>
    <w:rsid w:val="00D66001"/>
    <w:rsid w:val="00D6652E"/>
    <w:rsid w:val="00D70208"/>
    <w:rsid w:val="00D73365"/>
    <w:rsid w:val="00D738D4"/>
    <w:rsid w:val="00D74B53"/>
    <w:rsid w:val="00D74C16"/>
    <w:rsid w:val="00D7521E"/>
    <w:rsid w:val="00D75B1A"/>
    <w:rsid w:val="00D75D5E"/>
    <w:rsid w:val="00D77DCB"/>
    <w:rsid w:val="00D77F08"/>
    <w:rsid w:val="00D8008F"/>
    <w:rsid w:val="00D80876"/>
    <w:rsid w:val="00D835BD"/>
    <w:rsid w:val="00D83DF0"/>
    <w:rsid w:val="00D85582"/>
    <w:rsid w:val="00D85C51"/>
    <w:rsid w:val="00D85E61"/>
    <w:rsid w:val="00D864F2"/>
    <w:rsid w:val="00D8676A"/>
    <w:rsid w:val="00D87498"/>
    <w:rsid w:val="00D91697"/>
    <w:rsid w:val="00D9257A"/>
    <w:rsid w:val="00D9272C"/>
    <w:rsid w:val="00D93A86"/>
    <w:rsid w:val="00D94AD9"/>
    <w:rsid w:val="00D950C1"/>
    <w:rsid w:val="00D95B41"/>
    <w:rsid w:val="00D968B9"/>
    <w:rsid w:val="00D96A1F"/>
    <w:rsid w:val="00D96B65"/>
    <w:rsid w:val="00DA042D"/>
    <w:rsid w:val="00DA0702"/>
    <w:rsid w:val="00DA0DE2"/>
    <w:rsid w:val="00DA0FF5"/>
    <w:rsid w:val="00DA26F2"/>
    <w:rsid w:val="00DA2A6C"/>
    <w:rsid w:val="00DA3152"/>
    <w:rsid w:val="00DA33DB"/>
    <w:rsid w:val="00DA3E3F"/>
    <w:rsid w:val="00DA41D8"/>
    <w:rsid w:val="00DA53BE"/>
    <w:rsid w:val="00DA635A"/>
    <w:rsid w:val="00DA70DA"/>
    <w:rsid w:val="00DB008D"/>
    <w:rsid w:val="00DB10ED"/>
    <w:rsid w:val="00DB10F7"/>
    <w:rsid w:val="00DB1E21"/>
    <w:rsid w:val="00DB2B1C"/>
    <w:rsid w:val="00DB2C82"/>
    <w:rsid w:val="00DB619D"/>
    <w:rsid w:val="00DB64CF"/>
    <w:rsid w:val="00DB6859"/>
    <w:rsid w:val="00DB6A97"/>
    <w:rsid w:val="00DB6FE1"/>
    <w:rsid w:val="00DB7EF2"/>
    <w:rsid w:val="00DC0474"/>
    <w:rsid w:val="00DC1274"/>
    <w:rsid w:val="00DC1422"/>
    <w:rsid w:val="00DC2DED"/>
    <w:rsid w:val="00DC68B8"/>
    <w:rsid w:val="00DD0630"/>
    <w:rsid w:val="00DD0A60"/>
    <w:rsid w:val="00DD1269"/>
    <w:rsid w:val="00DD1C5D"/>
    <w:rsid w:val="00DD201A"/>
    <w:rsid w:val="00DD20C5"/>
    <w:rsid w:val="00DD277F"/>
    <w:rsid w:val="00DD28C0"/>
    <w:rsid w:val="00DD2FDB"/>
    <w:rsid w:val="00DD313A"/>
    <w:rsid w:val="00DD3419"/>
    <w:rsid w:val="00DD4B63"/>
    <w:rsid w:val="00DD620C"/>
    <w:rsid w:val="00DD6992"/>
    <w:rsid w:val="00DD70A2"/>
    <w:rsid w:val="00DD7212"/>
    <w:rsid w:val="00DE0235"/>
    <w:rsid w:val="00DE0C22"/>
    <w:rsid w:val="00DE5E1B"/>
    <w:rsid w:val="00DF09F3"/>
    <w:rsid w:val="00DF0F46"/>
    <w:rsid w:val="00DF2FB3"/>
    <w:rsid w:val="00DF5490"/>
    <w:rsid w:val="00DF6D54"/>
    <w:rsid w:val="00DF79F1"/>
    <w:rsid w:val="00DF7C02"/>
    <w:rsid w:val="00E02968"/>
    <w:rsid w:val="00E02D3A"/>
    <w:rsid w:val="00E02FFB"/>
    <w:rsid w:val="00E03548"/>
    <w:rsid w:val="00E0381B"/>
    <w:rsid w:val="00E0514A"/>
    <w:rsid w:val="00E05E23"/>
    <w:rsid w:val="00E067F8"/>
    <w:rsid w:val="00E10AAC"/>
    <w:rsid w:val="00E115F3"/>
    <w:rsid w:val="00E1185E"/>
    <w:rsid w:val="00E13721"/>
    <w:rsid w:val="00E13CD9"/>
    <w:rsid w:val="00E148E0"/>
    <w:rsid w:val="00E14B8C"/>
    <w:rsid w:val="00E14CFD"/>
    <w:rsid w:val="00E15726"/>
    <w:rsid w:val="00E160B0"/>
    <w:rsid w:val="00E1745C"/>
    <w:rsid w:val="00E205BE"/>
    <w:rsid w:val="00E2085B"/>
    <w:rsid w:val="00E20ED0"/>
    <w:rsid w:val="00E22240"/>
    <w:rsid w:val="00E24D5D"/>
    <w:rsid w:val="00E24E8C"/>
    <w:rsid w:val="00E25B7C"/>
    <w:rsid w:val="00E27E40"/>
    <w:rsid w:val="00E30BDA"/>
    <w:rsid w:val="00E3564E"/>
    <w:rsid w:val="00E364CE"/>
    <w:rsid w:val="00E366C8"/>
    <w:rsid w:val="00E41025"/>
    <w:rsid w:val="00E414A7"/>
    <w:rsid w:val="00E41ADC"/>
    <w:rsid w:val="00E437A3"/>
    <w:rsid w:val="00E47644"/>
    <w:rsid w:val="00E47D8C"/>
    <w:rsid w:val="00E47DE9"/>
    <w:rsid w:val="00E504C8"/>
    <w:rsid w:val="00E505FB"/>
    <w:rsid w:val="00E50602"/>
    <w:rsid w:val="00E510B1"/>
    <w:rsid w:val="00E5174F"/>
    <w:rsid w:val="00E51EB5"/>
    <w:rsid w:val="00E52539"/>
    <w:rsid w:val="00E52DA2"/>
    <w:rsid w:val="00E53577"/>
    <w:rsid w:val="00E53A1E"/>
    <w:rsid w:val="00E53B88"/>
    <w:rsid w:val="00E53F57"/>
    <w:rsid w:val="00E56E6C"/>
    <w:rsid w:val="00E577D3"/>
    <w:rsid w:val="00E57D83"/>
    <w:rsid w:val="00E6021F"/>
    <w:rsid w:val="00E61052"/>
    <w:rsid w:val="00E61A99"/>
    <w:rsid w:val="00E622E8"/>
    <w:rsid w:val="00E6255D"/>
    <w:rsid w:val="00E63361"/>
    <w:rsid w:val="00E639D8"/>
    <w:rsid w:val="00E64CFE"/>
    <w:rsid w:val="00E651A1"/>
    <w:rsid w:val="00E65669"/>
    <w:rsid w:val="00E66C67"/>
    <w:rsid w:val="00E6709C"/>
    <w:rsid w:val="00E67592"/>
    <w:rsid w:val="00E67AF1"/>
    <w:rsid w:val="00E67D4F"/>
    <w:rsid w:val="00E70787"/>
    <w:rsid w:val="00E70C09"/>
    <w:rsid w:val="00E73674"/>
    <w:rsid w:val="00E74B66"/>
    <w:rsid w:val="00E756FC"/>
    <w:rsid w:val="00E769F9"/>
    <w:rsid w:val="00E77122"/>
    <w:rsid w:val="00E8055E"/>
    <w:rsid w:val="00E80AB7"/>
    <w:rsid w:val="00E80C3E"/>
    <w:rsid w:val="00E82960"/>
    <w:rsid w:val="00E82A47"/>
    <w:rsid w:val="00E82DEE"/>
    <w:rsid w:val="00E83872"/>
    <w:rsid w:val="00E83DDE"/>
    <w:rsid w:val="00E84BC7"/>
    <w:rsid w:val="00E850BC"/>
    <w:rsid w:val="00E853AF"/>
    <w:rsid w:val="00E85719"/>
    <w:rsid w:val="00E86640"/>
    <w:rsid w:val="00E86AE9"/>
    <w:rsid w:val="00E86B25"/>
    <w:rsid w:val="00E86C9A"/>
    <w:rsid w:val="00E878DF"/>
    <w:rsid w:val="00E90638"/>
    <w:rsid w:val="00E919BA"/>
    <w:rsid w:val="00E91ACD"/>
    <w:rsid w:val="00E92997"/>
    <w:rsid w:val="00E9328C"/>
    <w:rsid w:val="00E9345B"/>
    <w:rsid w:val="00E93C7F"/>
    <w:rsid w:val="00E959EE"/>
    <w:rsid w:val="00E96463"/>
    <w:rsid w:val="00E96BC0"/>
    <w:rsid w:val="00EA0369"/>
    <w:rsid w:val="00EA04BC"/>
    <w:rsid w:val="00EA0A9A"/>
    <w:rsid w:val="00EA198D"/>
    <w:rsid w:val="00EA236E"/>
    <w:rsid w:val="00EA2850"/>
    <w:rsid w:val="00EA339B"/>
    <w:rsid w:val="00EA34A2"/>
    <w:rsid w:val="00EA3BF3"/>
    <w:rsid w:val="00EA44EB"/>
    <w:rsid w:val="00EA4A4D"/>
    <w:rsid w:val="00EA4F68"/>
    <w:rsid w:val="00EA5532"/>
    <w:rsid w:val="00EA5C3D"/>
    <w:rsid w:val="00EA618A"/>
    <w:rsid w:val="00EA66D0"/>
    <w:rsid w:val="00EA731C"/>
    <w:rsid w:val="00EB002F"/>
    <w:rsid w:val="00EB0C04"/>
    <w:rsid w:val="00EB1168"/>
    <w:rsid w:val="00EB2C76"/>
    <w:rsid w:val="00EB60AE"/>
    <w:rsid w:val="00EB61B7"/>
    <w:rsid w:val="00EB641F"/>
    <w:rsid w:val="00EB67D8"/>
    <w:rsid w:val="00EB6EFE"/>
    <w:rsid w:val="00EB7898"/>
    <w:rsid w:val="00EC04C2"/>
    <w:rsid w:val="00EC2295"/>
    <w:rsid w:val="00EC307C"/>
    <w:rsid w:val="00EC32B6"/>
    <w:rsid w:val="00EC35EE"/>
    <w:rsid w:val="00EC587F"/>
    <w:rsid w:val="00EC6A4C"/>
    <w:rsid w:val="00EC7377"/>
    <w:rsid w:val="00EC7A39"/>
    <w:rsid w:val="00ED05F0"/>
    <w:rsid w:val="00ED0981"/>
    <w:rsid w:val="00ED0DAA"/>
    <w:rsid w:val="00ED16CB"/>
    <w:rsid w:val="00ED410C"/>
    <w:rsid w:val="00ED4479"/>
    <w:rsid w:val="00ED518D"/>
    <w:rsid w:val="00ED5218"/>
    <w:rsid w:val="00ED6723"/>
    <w:rsid w:val="00ED6CC0"/>
    <w:rsid w:val="00ED6F8D"/>
    <w:rsid w:val="00ED7ED0"/>
    <w:rsid w:val="00EE238B"/>
    <w:rsid w:val="00EE2FC9"/>
    <w:rsid w:val="00EE317D"/>
    <w:rsid w:val="00EE524B"/>
    <w:rsid w:val="00EE6005"/>
    <w:rsid w:val="00EE607D"/>
    <w:rsid w:val="00EE7B6E"/>
    <w:rsid w:val="00EE7CE6"/>
    <w:rsid w:val="00EF0134"/>
    <w:rsid w:val="00EF11C9"/>
    <w:rsid w:val="00EF18B4"/>
    <w:rsid w:val="00EF244B"/>
    <w:rsid w:val="00EF43EB"/>
    <w:rsid w:val="00EF5FA1"/>
    <w:rsid w:val="00EF651A"/>
    <w:rsid w:val="00F00960"/>
    <w:rsid w:val="00F0147E"/>
    <w:rsid w:val="00F014CD"/>
    <w:rsid w:val="00F03A30"/>
    <w:rsid w:val="00F04011"/>
    <w:rsid w:val="00F0469B"/>
    <w:rsid w:val="00F06799"/>
    <w:rsid w:val="00F06AA9"/>
    <w:rsid w:val="00F074E9"/>
    <w:rsid w:val="00F07D5E"/>
    <w:rsid w:val="00F1105D"/>
    <w:rsid w:val="00F112FA"/>
    <w:rsid w:val="00F11B81"/>
    <w:rsid w:val="00F147F7"/>
    <w:rsid w:val="00F14869"/>
    <w:rsid w:val="00F15BF0"/>
    <w:rsid w:val="00F203C0"/>
    <w:rsid w:val="00F2082B"/>
    <w:rsid w:val="00F20B23"/>
    <w:rsid w:val="00F20C67"/>
    <w:rsid w:val="00F21D6F"/>
    <w:rsid w:val="00F21DB5"/>
    <w:rsid w:val="00F21EB4"/>
    <w:rsid w:val="00F220BD"/>
    <w:rsid w:val="00F223E8"/>
    <w:rsid w:val="00F2282D"/>
    <w:rsid w:val="00F23630"/>
    <w:rsid w:val="00F23855"/>
    <w:rsid w:val="00F23B0B"/>
    <w:rsid w:val="00F25BF2"/>
    <w:rsid w:val="00F301EF"/>
    <w:rsid w:val="00F312FB"/>
    <w:rsid w:val="00F31534"/>
    <w:rsid w:val="00F31ADF"/>
    <w:rsid w:val="00F32042"/>
    <w:rsid w:val="00F33190"/>
    <w:rsid w:val="00F33ADC"/>
    <w:rsid w:val="00F33B26"/>
    <w:rsid w:val="00F34334"/>
    <w:rsid w:val="00F352C9"/>
    <w:rsid w:val="00F35807"/>
    <w:rsid w:val="00F37AF9"/>
    <w:rsid w:val="00F37E7C"/>
    <w:rsid w:val="00F4026C"/>
    <w:rsid w:val="00F42172"/>
    <w:rsid w:val="00F42FAF"/>
    <w:rsid w:val="00F438D9"/>
    <w:rsid w:val="00F45070"/>
    <w:rsid w:val="00F4612D"/>
    <w:rsid w:val="00F461BF"/>
    <w:rsid w:val="00F46548"/>
    <w:rsid w:val="00F46883"/>
    <w:rsid w:val="00F468CC"/>
    <w:rsid w:val="00F4708F"/>
    <w:rsid w:val="00F5083C"/>
    <w:rsid w:val="00F51CE5"/>
    <w:rsid w:val="00F5222E"/>
    <w:rsid w:val="00F524BF"/>
    <w:rsid w:val="00F52582"/>
    <w:rsid w:val="00F53034"/>
    <w:rsid w:val="00F54196"/>
    <w:rsid w:val="00F549E1"/>
    <w:rsid w:val="00F55041"/>
    <w:rsid w:val="00F6003F"/>
    <w:rsid w:val="00F605C7"/>
    <w:rsid w:val="00F60C60"/>
    <w:rsid w:val="00F60C82"/>
    <w:rsid w:val="00F63431"/>
    <w:rsid w:val="00F63F98"/>
    <w:rsid w:val="00F64011"/>
    <w:rsid w:val="00F64FB8"/>
    <w:rsid w:val="00F656B9"/>
    <w:rsid w:val="00F66059"/>
    <w:rsid w:val="00F66AEE"/>
    <w:rsid w:val="00F66DFE"/>
    <w:rsid w:val="00F70113"/>
    <w:rsid w:val="00F7020A"/>
    <w:rsid w:val="00F70AFF"/>
    <w:rsid w:val="00F721E0"/>
    <w:rsid w:val="00F73237"/>
    <w:rsid w:val="00F737A1"/>
    <w:rsid w:val="00F74D1F"/>
    <w:rsid w:val="00F76FCC"/>
    <w:rsid w:val="00F80744"/>
    <w:rsid w:val="00F82401"/>
    <w:rsid w:val="00F82541"/>
    <w:rsid w:val="00F82B50"/>
    <w:rsid w:val="00F84D8F"/>
    <w:rsid w:val="00F85073"/>
    <w:rsid w:val="00F85957"/>
    <w:rsid w:val="00F86797"/>
    <w:rsid w:val="00F90F9E"/>
    <w:rsid w:val="00F91682"/>
    <w:rsid w:val="00F91B6F"/>
    <w:rsid w:val="00F93C77"/>
    <w:rsid w:val="00F93CBA"/>
    <w:rsid w:val="00F94294"/>
    <w:rsid w:val="00F945E8"/>
    <w:rsid w:val="00F975F2"/>
    <w:rsid w:val="00F977E5"/>
    <w:rsid w:val="00F97F24"/>
    <w:rsid w:val="00FA022A"/>
    <w:rsid w:val="00FA114C"/>
    <w:rsid w:val="00FA11D3"/>
    <w:rsid w:val="00FA15B5"/>
    <w:rsid w:val="00FA163A"/>
    <w:rsid w:val="00FA3718"/>
    <w:rsid w:val="00FA6B22"/>
    <w:rsid w:val="00FA7E38"/>
    <w:rsid w:val="00FB0246"/>
    <w:rsid w:val="00FB15C4"/>
    <w:rsid w:val="00FB1D31"/>
    <w:rsid w:val="00FB5120"/>
    <w:rsid w:val="00FB595E"/>
    <w:rsid w:val="00FB68EE"/>
    <w:rsid w:val="00FC1E73"/>
    <w:rsid w:val="00FC2B9F"/>
    <w:rsid w:val="00FC343F"/>
    <w:rsid w:val="00FC3ADA"/>
    <w:rsid w:val="00FC40D9"/>
    <w:rsid w:val="00FC460A"/>
    <w:rsid w:val="00FC4ABF"/>
    <w:rsid w:val="00FC556F"/>
    <w:rsid w:val="00FC5F69"/>
    <w:rsid w:val="00FC6890"/>
    <w:rsid w:val="00FC6CFC"/>
    <w:rsid w:val="00FD0655"/>
    <w:rsid w:val="00FD0BFC"/>
    <w:rsid w:val="00FD0FE1"/>
    <w:rsid w:val="00FD120E"/>
    <w:rsid w:val="00FD2281"/>
    <w:rsid w:val="00FD2EFF"/>
    <w:rsid w:val="00FD402A"/>
    <w:rsid w:val="00FD4D8C"/>
    <w:rsid w:val="00FD6E58"/>
    <w:rsid w:val="00FD75F2"/>
    <w:rsid w:val="00FE108C"/>
    <w:rsid w:val="00FE27AA"/>
    <w:rsid w:val="00FE4ACE"/>
    <w:rsid w:val="00FE4FD5"/>
    <w:rsid w:val="00FE5ACD"/>
    <w:rsid w:val="00FE5F77"/>
    <w:rsid w:val="00FE6748"/>
    <w:rsid w:val="00FE6B36"/>
    <w:rsid w:val="00FE7AA8"/>
    <w:rsid w:val="00FE7DB9"/>
    <w:rsid w:val="00FF1797"/>
    <w:rsid w:val="00FF1CAD"/>
    <w:rsid w:val="00FF1D5C"/>
    <w:rsid w:val="00FF2752"/>
    <w:rsid w:val="00FF2A73"/>
    <w:rsid w:val="00FF34D6"/>
    <w:rsid w:val="00FF3DF0"/>
    <w:rsid w:val="00FF3E23"/>
    <w:rsid w:val="00FF5088"/>
    <w:rsid w:val="00FF51A0"/>
    <w:rsid w:val="00FF57BE"/>
    <w:rsid w:val="00FF5E9A"/>
    <w:rsid w:val="00FF672A"/>
    <w:rsid w:val="00FF74BF"/>
    <w:rsid w:val="00FF7BD4"/>
    <w:rsid w:val="00FF7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3B0"/>
    <w:pPr>
      <w:widowControl w:val="0"/>
      <w:pBdr>
        <w:top w:val="dotted" w:sz="4" w:space="0" w:color="FFFFFF"/>
        <w:left w:val="dotted" w:sz="4" w:space="0" w:color="FFFFFF"/>
        <w:bottom w:val="dotted" w:sz="4" w:space="15" w:color="FFFFFF"/>
        <w:right w:val="dotted" w:sz="4" w:space="0" w:color="FFFFFF"/>
      </w:pBdr>
      <w:shd w:val="clear" w:color="auto" w:fill="FFFFFF"/>
      <w:spacing w:after="120" w:line="240" w:lineRule="auto"/>
      <w:ind w:firstLine="720"/>
      <w:jc w:val="both"/>
    </w:pPr>
    <w:rPr>
      <w:rFonts w:ascii="Times New Roman" w:hAnsi="Times New Roman" w:cs="Times New Roman"/>
      <w:sz w:val="28"/>
      <w:szCs w:val="28"/>
    </w:rPr>
  </w:style>
  <w:style w:type="paragraph" w:styleId="Heading1">
    <w:name w:val="heading 1"/>
    <w:basedOn w:val="norm"/>
    <w:next w:val="Normal"/>
    <w:link w:val="Heading1Char"/>
    <w:uiPriority w:val="9"/>
    <w:qFormat/>
    <w:rsid w:val="00F60C82"/>
    <w:pPr>
      <w:ind w:firstLine="720"/>
      <w:outlineLvl w:val="0"/>
    </w:pPr>
    <w:rPr>
      <w:b/>
    </w:rPr>
  </w:style>
  <w:style w:type="paragraph" w:styleId="Heading2">
    <w:name w:val="heading 2"/>
    <w:basedOn w:val="Heading1"/>
    <w:next w:val="Normal"/>
    <w:link w:val="Heading2Char"/>
    <w:uiPriority w:val="9"/>
    <w:unhideWhenUsed/>
    <w:qFormat/>
    <w:rsid w:val="00F60C82"/>
    <w:pPr>
      <w:outlineLvl w:val="1"/>
    </w:pPr>
  </w:style>
  <w:style w:type="paragraph" w:styleId="Heading3">
    <w:name w:val="heading 3"/>
    <w:basedOn w:val="Normal"/>
    <w:next w:val="Normal"/>
    <w:link w:val="Heading3Char"/>
    <w:uiPriority w:val="9"/>
    <w:unhideWhenUsed/>
    <w:qFormat/>
    <w:rsid w:val="000074EE"/>
    <w:pPr>
      <w:outlineLvl w:val="2"/>
    </w:pPr>
    <w:rPr>
      <w:b/>
    </w:rPr>
  </w:style>
  <w:style w:type="paragraph" w:styleId="Heading4">
    <w:name w:val="heading 4"/>
    <w:basedOn w:val="Normal"/>
    <w:next w:val="Normal"/>
    <w:link w:val="Heading4Char"/>
    <w:uiPriority w:val="9"/>
    <w:semiHidden/>
    <w:unhideWhenUsed/>
    <w:qFormat/>
    <w:rsid w:val="003601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ntact,Enumeration,Paragraphe de liste 2,Puce focus,ADB paragraph numbering,List Paragraph nowy,Bullets,List Paragraph (numbered (a)),Numbered List Paragraph,Bullet 2,Sub-heading,References,Resume Title,Citation List,ANNEX,Paragraph,b1"/>
    <w:basedOn w:val="Normal"/>
    <w:link w:val="ListParagraphChar"/>
    <w:uiPriority w:val="34"/>
    <w:qFormat/>
    <w:rsid w:val="00B34D5C"/>
    <w:pPr>
      <w:ind w:left="720"/>
      <w:contextualSpacing/>
    </w:pPr>
  </w:style>
  <w:style w:type="paragraph" w:styleId="DocumentMap">
    <w:name w:val="Document Map"/>
    <w:basedOn w:val="Normal"/>
    <w:link w:val="DocumentMapChar"/>
    <w:uiPriority w:val="99"/>
    <w:semiHidden/>
    <w:unhideWhenUsed/>
    <w:rsid w:val="00B34D5C"/>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4D5C"/>
    <w:rPr>
      <w:rFonts w:ascii="Tahoma" w:hAnsi="Tahoma" w:cs="Tahoma"/>
      <w:sz w:val="16"/>
      <w:szCs w:val="16"/>
    </w:rPr>
  </w:style>
  <w:style w:type="table" w:styleId="TableGrid">
    <w:name w:val="Table Grid"/>
    <w:basedOn w:val="TableNormal"/>
    <w:uiPriority w:val="39"/>
    <w:rsid w:val="00A9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3174"/>
    <w:pPr>
      <w:tabs>
        <w:tab w:val="center" w:pos="4680"/>
        <w:tab w:val="right" w:pos="9360"/>
      </w:tabs>
      <w:spacing w:after="0"/>
    </w:pPr>
  </w:style>
  <w:style w:type="character" w:customStyle="1" w:styleId="HeaderChar">
    <w:name w:val="Header Char"/>
    <w:basedOn w:val="DefaultParagraphFont"/>
    <w:link w:val="Header"/>
    <w:uiPriority w:val="99"/>
    <w:rsid w:val="00363174"/>
  </w:style>
  <w:style w:type="paragraph" w:styleId="Footer">
    <w:name w:val="footer"/>
    <w:basedOn w:val="Normal"/>
    <w:link w:val="FooterChar"/>
    <w:uiPriority w:val="99"/>
    <w:unhideWhenUsed/>
    <w:rsid w:val="00363174"/>
    <w:pPr>
      <w:tabs>
        <w:tab w:val="center" w:pos="4680"/>
        <w:tab w:val="right" w:pos="9360"/>
      </w:tabs>
      <w:spacing w:after="0"/>
    </w:pPr>
  </w:style>
  <w:style w:type="character" w:customStyle="1" w:styleId="FooterChar">
    <w:name w:val="Footer Char"/>
    <w:basedOn w:val="DefaultParagraphFont"/>
    <w:link w:val="Footer"/>
    <w:uiPriority w:val="99"/>
    <w:rsid w:val="00363174"/>
  </w:style>
  <w:style w:type="character" w:customStyle="1" w:styleId="Heading1Char">
    <w:name w:val="Heading 1 Char"/>
    <w:basedOn w:val="DefaultParagraphFont"/>
    <w:link w:val="Heading1"/>
    <w:uiPriority w:val="9"/>
    <w:rsid w:val="00F60C82"/>
    <w:rPr>
      <w:rFonts w:ascii="Times New Roman" w:hAnsi="Times New Roman" w:cs="Times New Roman"/>
      <w:b/>
      <w:sz w:val="28"/>
      <w:szCs w:val="28"/>
      <w:lang w:val="sv-SE"/>
    </w:rPr>
  </w:style>
  <w:style w:type="paragraph" w:styleId="TOCHeading">
    <w:name w:val="TOC Heading"/>
    <w:basedOn w:val="Heading1"/>
    <w:next w:val="Normal"/>
    <w:uiPriority w:val="39"/>
    <w:unhideWhenUsed/>
    <w:qFormat/>
    <w:rsid w:val="00841E34"/>
    <w:pPr>
      <w:outlineLvl w:val="9"/>
    </w:pPr>
  </w:style>
  <w:style w:type="paragraph" w:styleId="TOC1">
    <w:name w:val="toc 1"/>
    <w:basedOn w:val="Normal"/>
    <w:next w:val="Normal"/>
    <w:autoRedefine/>
    <w:uiPriority w:val="39"/>
    <w:unhideWhenUsed/>
    <w:qFormat/>
    <w:rsid w:val="00737296"/>
    <w:pPr>
      <w:tabs>
        <w:tab w:val="right" w:leader="underscore" w:pos="9062"/>
      </w:tabs>
      <w:spacing w:after="240"/>
      <w:ind w:firstLine="0"/>
      <w:jc w:val="center"/>
    </w:pPr>
    <w:rPr>
      <w:b/>
      <w:bCs/>
      <w:i/>
      <w:iCs/>
      <w:noProof/>
      <w:sz w:val="24"/>
      <w:szCs w:val="24"/>
    </w:rPr>
  </w:style>
  <w:style w:type="paragraph" w:styleId="TOC2">
    <w:name w:val="toc 2"/>
    <w:basedOn w:val="Normal"/>
    <w:next w:val="Normal"/>
    <w:autoRedefine/>
    <w:uiPriority w:val="39"/>
    <w:unhideWhenUsed/>
    <w:qFormat/>
    <w:rsid w:val="00737296"/>
    <w:pPr>
      <w:tabs>
        <w:tab w:val="right" w:leader="underscore" w:pos="9062"/>
      </w:tabs>
      <w:spacing w:after="60"/>
      <w:ind w:firstLine="0"/>
    </w:pPr>
    <w:rPr>
      <w:rFonts w:cstheme="minorHAnsi"/>
      <w:b/>
      <w:bCs/>
      <w:noProof/>
      <w:sz w:val="24"/>
      <w:szCs w:val="26"/>
    </w:rPr>
  </w:style>
  <w:style w:type="paragraph" w:styleId="TOC3">
    <w:name w:val="toc 3"/>
    <w:basedOn w:val="Normal"/>
    <w:next w:val="Normal"/>
    <w:autoRedefine/>
    <w:uiPriority w:val="39"/>
    <w:unhideWhenUsed/>
    <w:qFormat/>
    <w:rsid w:val="0079639F"/>
    <w:pPr>
      <w:spacing w:after="0"/>
      <w:ind w:left="440"/>
    </w:pPr>
    <w:rPr>
      <w:rFonts w:cstheme="minorHAnsi"/>
      <w:sz w:val="20"/>
      <w:szCs w:val="20"/>
    </w:rPr>
  </w:style>
  <w:style w:type="character" w:styleId="Hyperlink">
    <w:name w:val="Hyperlink"/>
    <w:basedOn w:val="DefaultParagraphFont"/>
    <w:uiPriority w:val="99"/>
    <w:unhideWhenUsed/>
    <w:rsid w:val="00841E34"/>
    <w:rPr>
      <w:color w:val="0000FF" w:themeColor="hyperlink"/>
      <w:u w:val="single"/>
    </w:rPr>
  </w:style>
  <w:style w:type="paragraph" w:styleId="BalloonText">
    <w:name w:val="Balloon Text"/>
    <w:basedOn w:val="Normal"/>
    <w:link w:val="BalloonTextChar"/>
    <w:uiPriority w:val="99"/>
    <w:semiHidden/>
    <w:unhideWhenUsed/>
    <w:rsid w:val="00841E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E34"/>
    <w:rPr>
      <w:rFonts w:ascii="Tahoma" w:hAnsi="Tahoma" w:cs="Tahoma"/>
      <w:sz w:val="16"/>
      <w:szCs w:val="16"/>
    </w:rPr>
  </w:style>
  <w:style w:type="paragraph" w:styleId="BodyText">
    <w:name w:val="Body Text"/>
    <w:basedOn w:val="Normal"/>
    <w:link w:val="BodyTextChar"/>
    <w:rsid w:val="00771401"/>
    <w:pPr>
      <w:spacing w:after="0" w:line="360" w:lineRule="auto"/>
    </w:pPr>
    <w:rPr>
      <w:rFonts w:ascii=".VnTime" w:eastAsia="Times New Roman" w:hAnsi=".VnTime"/>
      <w:szCs w:val="20"/>
    </w:rPr>
  </w:style>
  <w:style w:type="character" w:customStyle="1" w:styleId="BodyTextChar">
    <w:name w:val="Body Text Char"/>
    <w:basedOn w:val="DefaultParagraphFont"/>
    <w:link w:val="BodyText"/>
    <w:rsid w:val="00771401"/>
    <w:rPr>
      <w:rFonts w:ascii=".VnTime" w:eastAsia="Times New Roman" w:hAnsi=".VnTime" w:cs="Times New Roman"/>
      <w:sz w:val="28"/>
      <w:szCs w:val="20"/>
    </w:rPr>
  </w:style>
  <w:style w:type="paragraph" w:styleId="BodyTextIndent2">
    <w:name w:val="Body Text Indent 2"/>
    <w:basedOn w:val="Normal"/>
    <w:link w:val="BodyTextIndent2Char"/>
    <w:semiHidden/>
    <w:unhideWhenUsed/>
    <w:rsid w:val="007A05C0"/>
    <w:pPr>
      <w:spacing w:line="480" w:lineRule="auto"/>
      <w:ind w:left="360"/>
    </w:pPr>
    <w:rPr>
      <w:rFonts w:eastAsia="Times New Roman"/>
      <w:sz w:val="24"/>
      <w:szCs w:val="24"/>
      <w:lang w:val="vi-VN"/>
    </w:rPr>
  </w:style>
  <w:style w:type="character" w:customStyle="1" w:styleId="BodyTextIndent2Char">
    <w:name w:val="Body Text Indent 2 Char"/>
    <w:basedOn w:val="DefaultParagraphFont"/>
    <w:link w:val="BodyTextIndent2"/>
    <w:semiHidden/>
    <w:rsid w:val="007A05C0"/>
    <w:rPr>
      <w:rFonts w:ascii="Times New Roman" w:eastAsia="Times New Roman" w:hAnsi="Times New Roman" w:cs="Times New Roman"/>
      <w:sz w:val="24"/>
      <w:szCs w:val="24"/>
      <w:lang w:val="vi-VN"/>
    </w:rPr>
  </w:style>
  <w:style w:type="paragraph" w:styleId="BodyTextIndent3">
    <w:name w:val="Body Text Indent 3"/>
    <w:basedOn w:val="Normal"/>
    <w:link w:val="BodyTextIndent3Char"/>
    <w:semiHidden/>
    <w:unhideWhenUsed/>
    <w:rsid w:val="007A05C0"/>
    <w:pPr>
      <w:ind w:left="360"/>
    </w:pPr>
    <w:rPr>
      <w:rFonts w:eastAsia="Times New Roman"/>
      <w:sz w:val="16"/>
      <w:szCs w:val="16"/>
      <w:lang w:val="vi-VN"/>
    </w:rPr>
  </w:style>
  <w:style w:type="character" w:customStyle="1" w:styleId="BodyTextIndent3Char">
    <w:name w:val="Body Text Indent 3 Char"/>
    <w:basedOn w:val="DefaultParagraphFont"/>
    <w:link w:val="BodyTextIndent3"/>
    <w:semiHidden/>
    <w:rsid w:val="007A05C0"/>
    <w:rPr>
      <w:rFonts w:ascii="Times New Roman" w:eastAsia="Times New Roman" w:hAnsi="Times New Roman" w:cs="Times New Roman"/>
      <w:sz w:val="16"/>
      <w:szCs w:val="16"/>
      <w:lang w:val="vi-VN"/>
    </w:rPr>
  </w:style>
  <w:style w:type="character" w:customStyle="1" w:styleId="ListParagraphChar">
    <w:name w:val="List Paragraph Char"/>
    <w:aliases w:val="Contact Char,Enumeration Char,Paragraphe de liste 2 Char,Puce focus Char,ADB paragraph numbering Char,List Paragraph nowy Char,Bullets Char,List Paragraph (numbered (a)) Char,Numbered List Paragraph Char,Bullet 2 Char,References Char"/>
    <w:link w:val="ListParagraph"/>
    <w:uiPriority w:val="34"/>
    <w:qFormat/>
    <w:rsid w:val="009473EF"/>
  </w:style>
  <w:style w:type="paragraph" w:styleId="BodyText2">
    <w:name w:val="Body Text 2"/>
    <w:basedOn w:val="Normal"/>
    <w:link w:val="BodyText2Char"/>
    <w:rsid w:val="009473EF"/>
    <w:pPr>
      <w:suppressAutoHyphens/>
      <w:overflowPunct w:val="0"/>
      <w:autoSpaceDE w:val="0"/>
      <w:ind w:left="360" w:firstLine="567"/>
      <w:textAlignment w:val="baseline"/>
    </w:pPr>
    <w:rPr>
      <w:rFonts w:ascii=".VnTime" w:eastAsia="Times New Roman" w:hAnsi=".VnTime" w:cs=".VnTime"/>
      <w:color w:val="0000FF"/>
      <w:sz w:val="24"/>
      <w:szCs w:val="24"/>
      <w:lang w:eastAsia="zh-CN"/>
    </w:rPr>
  </w:style>
  <w:style w:type="character" w:customStyle="1" w:styleId="BodyText2Char">
    <w:name w:val="Body Text 2 Char"/>
    <w:basedOn w:val="DefaultParagraphFont"/>
    <w:link w:val="BodyText2"/>
    <w:rsid w:val="009473EF"/>
    <w:rPr>
      <w:rFonts w:ascii=".VnTime" w:eastAsia="Times New Roman" w:hAnsi=".VnTime" w:cs=".VnTime"/>
      <w:color w:val="0000FF"/>
      <w:sz w:val="24"/>
      <w:szCs w:val="24"/>
      <w:lang w:eastAsia="zh-CN"/>
    </w:rPr>
  </w:style>
  <w:style w:type="character" w:customStyle="1" w:styleId="apple-converted-space">
    <w:name w:val="apple-converted-space"/>
    <w:basedOn w:val="DefaultParagraphFont"/>
    <w:rsid w:val="00026350"/>
  </w:style>
  <w:style w:type="character" w:styleId="Strong">
    <w:name w:val="Strong"/>
    <w:basedOn w:val="DefaultParagraphFont"/>
    <w:uiPriority w:val="22"/>
    <w:qFormat/>
    <w:rsid w:val="007F3310"/>
    <w:rPr>
      <w:b/>
      <w:bCs/>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A"/>
    <w:basedOn w:val="Normal"/>
    <w:link w:val="FootnoteTextChar"/>
    <w:unhideWhenUsed/>
    <w:qFormat/>
    <w:rsid w:val="00023399"/>
    <w:pPr>
      <w:spacing w:after="0"/>
      <w:ind w:firstLine="0"/>
    </w:pPr>
    <w:rPr>
      <w:color w:val="000000" w:themeColor="text1"/>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A Char"/>
    <w:basedOn w:val="DefaultParagraphFont"/>
    <w:link w:val="FootnoteText"/>
    <w:qFormat/>
    <w:rsid w:val="00023399"/>
    <w:rPr>
      <w:rFonts w:ascii="Times New Roman" w:hAnsi="Times New Roman" w:cs="Times New Roman"/>
      <w:color w:val="000000" w:themeColor="text1"/>
      <w:sz w:val="20"/>
      <w:szCs w:val="20"/>
      <w:shd w:val="clear" w:color="auto" w:fill="FFFFF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de nota al p,SUPERS,R"/>
    <w:basedOn w:val="DefaultParagraphFont"/>
    <w:link w:val="CarattereCarattereCharCharCharCharCharCharZchn"/>
    <w:uiPriority w:val="99"/>
    <w:unhideWhenUsed/>
    <w:qFormat/>
    <w:rsid w:val="00CE3E6D"/>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9D28E1"/>
    <w:pPr>
      <w:spacing w:after="160" w:line="240" w:lineRule="exact"/>
    </w:pPr>
    <w:rPr>
      <w:vertAlign w:val="superscript"/>
    </w:rPr>
  </w:style>
  <w:style w:type="paragraph" w:styleId="NormalWeb">
    <w:name w:val="Normal (Web)"/>
    <w:aliases w:val="Char Char Char,Char Char Char1"/>
    <w:basedOn w:val="Normal"/>
    <w:link w:val="NormalWebChar"/>
    <w:qFormat/>
    <w:rsid w:val="003D1D2C"/>
    <w:pPr>
      <w:spacing w:before="100" w:beforeAutospacing="1" w:after="100" w:afterAutospacing="1"/>
    </w:pPr>
    <w:rPr>
      <w:rFonts w:eastAsia="Times New Roman"/>
      <w:sz w:val="24"/>
      <w:szCs w:val="24"/>
    </w:rPr>
  </w:style>
  <w:style w:type="character" w:customStyle="1" w:styleId="NormalWebChar">
    <w:name w:val="Normal (Web) Char"/>
    <w:aliases w:val="Char Char Char Char,Char Char Char1 Char"/>
    <w:link w:val="NormalWeb"/>
    <w:uiPriority w:val="99"/>
    <w:rsid w:val="003D1D2C"/>
    <w:rPr>
      <w:rFonts w:ascii="Times New Roman" w:eastAsia="Times New Roman" w:hAnsi="Times New Roman" w:cs="Times New Roman"/>
      <w:sz w:val="24"/>
      <w:szCs w:val="24"/>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uiPriority w:val="99"/>
    <w:rsid w:val="00F70113"/>
    <w:pPr>
      <w:spacing w:before="100" w:after="0" w:line="240" w:lineRule="exact"/>
    </w:pPr>
    <w:rPr>
      <w:rFonts w:eastAsia="Calibri"/>
      <w:sz w:val="20"/>
      <w:szCs w:val="20"/>
      <w:vertAlign w:val="superscript"/>
    </w:rPr>
  </w:style>
  <w:style w:type="character" w:customStyle="1" w:styleId="apple-style-span">
    <w:name w:val="apple-style-span"/>
    <w:basedOn w:val="DefaultParagraphFont"/>
    <w:uiPriority w:val="99"/>
    <w:rsid w:val="00872B3A"/>
  </w:style>
  <w:style w:type="paragraph" w:customStyle="1" w:styleId="Form">
    <w:name w:val="Form"/>
    <w:basedOn w:val="Normal"/>
    <w:link w:val="FormChar"/>
    <w:rsid w:val="00F35807"/>
    <w:pPr>
      <w:tabs>
        <w:tab w:val="left" w:pos="1440"/>
        <w:tab w:val="left" w:pos="2160"/>
        <w:tab w:val="left" w:pos="2880"/>
        <w:tab w:val="right" w:pos="7200"/>
      </w:tabs>
      <w:autoSpaceDE w:val="0"/>
      <w:autoSpaceDN w:val="0"/>
      <w:spacing w:before="80" w:after="80" w:line="264" w:lineRule="auto"/>
    </w:pPr>
    <w:rPr>
      <w:rFonts w:ascii=".VnTime" w:eastAsia="Times New Roman" w:hAnsi=".VnTime" w:cs=".VnTime"/>
      <w:lang w:val="en-GB"/>
    </w:rPr>
  </w:style>
  <w:style w:type="character" w:customStyle="1" w:styleId="FormChar">
    <w:name w:val="Form Char"/>
    <w:basedOn w:val="DefaultParagraphFont"/>
    <w:link w:val="Form"/>
    <w:rsid w:val="00F35807"/>
    <w:rPr>
      <w:rFonts w:ascii=".VnTime" w:eastAsia="Times New Roman" w:hAnsi=".VnTime" w:cs=".VnTime"/>
      <w:sz w:val="28"/>
      <w:szCs w:val="28"/>
      <w:lang w:val="en-GB"/>
    </w:rPr>
  </w:style>
  <w:style w:type="character" w:customStyle="1" w:styleId="Heading2Char">
    <w:name w:val="Heading 2 Char"/>
    <w:basedOn w:val="DefaultParagraphFont"/>
    <w:link w:val="Heading2"/>
    <w:uiPriority w:val="9"/>
    <w:rsid w:val="00F60C82"/>
    <w:rPr>
      <w:rFonts w:ascii="Times New Roman" w:hAnsi="Times New Roman" w:cs="Times New Roman"/>
      <w:b/>
      <w:sz w:val="28"/>
      <w:szCs w:val="28"/>
      <w:lang w:val="sv-SE"/>
    </w:rPr>
  </w:style>
  <w:style w:type="character" w:customStyle="1" w:styleId="Heading3Char">
    <w:name w:val="Heading 3 Char"/>
    <w:basedOn w:val="DefaultParagraphFont"/>
    <w:link w:val="Heading3"/>
    <w:uiPriority w:val="9"/>
    <w:rsid w:val="000074EE"/>
    <w:rPr>
      <w:rFonts w:ascii="Times New Roman" w:hAnsi="Times New Roman" w:cs="Times New Roman"/>
      <w:b/>
      <w:sz w:val="28"/>
      <w:szCs w:val="28"/>
      <w:shd w:val="clear" w:color="auto" w:fill="FFFFFF"/>
    </w:rPr>
  </w:style>
  <w:style w:type="character" w:customStyle="1" w:styleId="Heading4Char">
    <w:name w:val="Heading 4 Char"/>
    <w:basedOn w:val="DefaultParagraphFont"/>
    <w:link w:val="Heading4"/>
    <w:uiPriority w:val="9"/>
    <w:semiHidden/>
    <w:rsid w:val="00360162"/>
    <w:rPr>
      <w:rFonts w:asciiTheme="majorHAnsi" w:eastAsiaTheme="majorEastAsia" w:hAnsiTheme="majorHAnsi" w:cstheme="majorBidi"/>
      <w:b/>
      <w:bCs/>
      <w:i/>
      <w:iCs/>
      <w:color w:val="4F81BD" w:themeColor="accent1"/>
    </w:rPr>
  </w:style>
  <w:style w:type="paragraph" w:customStyle="1" w:styleId="norm">
    <w:name w:val="norm"/>
    <w:basedOn w:val="Normal"/>
    <w:link w:val="normChar"/>
    <w:qFormat/>
    <w:rsid w:val="00543015"/>
    <w:pPr>
      <w:ind w:firstLine="680"/>
    </w:pPr>
    <w:rPr>
      <w:lang w:val="sv-SE"/>
    </w:rPr>
  </w:style>
  <w:style w:type="character" w:customStyle="1" w:styleId="normChar">
    <w:name w:val="norm Char"/>
    <w:basedOn w:val="DefaultParagraphFont"/>
    <w:link w:val="norm"/>
    <w:rsid w:val="00543015"/>
    <w:rPr>
      <w:rFonts w:ascii="Times New Roman" w:hAnsi="Times New Roman" w:cs="Times New Roman"/>
      <w:sz w:val="28"/>
      <w:szCs w:val="28"/>
      <w:lang w:val="sv-SE"/>
    </w:rPr>
  </w:style>
  <w:style w:type="paragraph" w:customStyle="1" w:styleId="Chthchcuitrang">
    <w:name w:val="Chú thích cuối trang"/>
    <w:rsid w:val="00F721E0"/>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styleId="Title">
    <w:name w:val="Title"/>
    <w:basedOn w:val="Normal"/>
    <w:next w:val="Normal"/>
    <w:link w:val="TitleChar"/>
    <w:uiPriority w:val="10"/>
    <w:qFormat/>
    <w:rsid w:val="00543015"/>
    <w:pPr>
      <w:pBdr>
        <w:bottom w:val="single" w:sz="8" w:space="4" w:color="4F81BD" w:themeColor="accent1"/>
      </w:pBdr>
      <w:spacing w:after="300"/>
      <w:contextualSpacing/>
    </w:pPr>
    <w:rPr>
      <w:rFonts w:eastAsiaTheme="majorEastAsia"/>
      <w:color w:val="17365D" w:themeColor="text2" w:themeShade="BF"/>
      <w:spacing w:val="5"/>
      <w:kern w:val="28"/>
      <w:sz w:val="36"/>
      <w:szCs w:val="36"/>
      <w:lang w:val="it-IT"/>
    </w:rPr>
  </w:style>
  <w:style w:type="character" w:customStyle="1" w:styleId="TitleChar">
    <w:name w:val="Title Char"/>
    <w:basedOn w:val="DefaultParagraphFont"/>
    <w:link w:val="Title"/>
    <w:uiPriority w:val="10"/>
    <w:rsid w:val="00543015"/>
    <w:rPr>
      <w:rFonts w:ascii="Times New Roman" w:eastAsiaTheme="majorEastAsia" w:hAnsi="Times New Roman" w:cs="Times New Roman"/>
      <w:color w:val="17365D" w:themeColor="text2" w:themeShade="BF"/>
      <w:spacing w:val="5"/>
      <w:kern w:val="28"/>
      <w:sz w:val="36"/>
      <w:szCs w:val="36"/>
      <w:lang w:val="it-IT"/>
    </w:rPr>
  </w:style>
  <w:style w:type="paragraph" w:styleId="TOC4">
    <w:name w:val="toc 4"/>
    <w:basedOn w:val="Normal"/>
    <w:next w:val="Normal"/>
    <w:autoRedefine/>
    <w:uiPriority w:val="39"/>
    <w:unhideWhenUsed/>
    <w:rsid w:val="00AF5F1E"/>
    <w:pPr>
      <w:spacing w:after="0"/>
      <w:ind w:left="660"/>
    </w:pPr>
    <w:rPr>
      <w:rFonts w:cstheme="minorHAnsi"/>
      <w:sz w:val="20"/>
      <w:szCs w:val="20"/>
    </w:rPr>
  </w:style>
  <w:style w:type="paragraph" w:styleId="TOC5">
    <w:name w:val="toc 5"/>
    <w:basedOn w:val="Normal"/>
    <w:next w:val="Normal"/>
    <w:autoRedefine/>
    <w:uiPriority w:val="39"/>
    <w:unhideWhenUsed/>
    <w:rsid w:val="00AF5F1E"/>
    <w:pPr>
      <w:spacing w:after="0"/>
      <w:ind w:left="880"/>
    </w:pPr>
    <w:rPr>
      <w:rFonts w:cstheme="minorHAnsi"/>
      <w:sz w:val="20"/>
      <w:szCs w:val="20"/>
    </w:rPr>
  </w:style>
  <w:style w:type="paragraph" w:styleId="TOC6">
    <w:name w:val="toc 6"/>
    <w:basedOn w:val="Normal"/>
    <w:next w:val="Normal"/>
    <w:autoRedefine/>
    <w:uiPriority w:val="39"/>
    <w:unhideWhenUsed/>
    <w:rsid w:val="00AF5F1E"/>
    <w:pPr>
      <w:spacing w:after="0"/>
      <w:ind w:left="1100"/>
    </w:pPr>
    <w:rPr>
      <w:rFonts w:cstheme="minorHAnsi"/>
      <w:sz w:val="20"/>
      <w:szCs w:val="20"/>
    </w:rPr>
  </w:style>
  <w:style w:type="paragraph" w:styleId="TOC7">
    <w:name w:val="toc 7"/>
    <w:basedOn w:val="Normal"/>
    <w:next w:val="Normal"/>
    <w:autoRedefine/>
    <w:uiPriority w:val="39"/>
    <w:unhideWhenUsed/>
    <w:rsid w:val="00AF5F1E"/>
    <w:pPr>
      <w:spacing w:after="0"/>
      <w:ind w:left="1320"/>
    </w:pPr>
    <w:rPr>
      <w:rFonts w:cstheme="minorHAnsi"/>
      <w:sz w:val="20"/>
      <w:szCs w:val="20"/>
    </w:rPr>
  </w:style>
  <w:style w:type="paragraph" w:styleId="TOC8">
    <w:name w:val="toc 8"/>
    <w:basedOn w:val="Normal"/>
    <w:next w:val="Normal"/>
    <w:autoRedefine/>
    <w:uiPriority w:val="39"/>
    <w:unhideWhenUsed/>
    <w:rsid w:val="00AF5F1E"/>
    <w:pPr>
      <w:spacing w:after="0"/>
      <w:ind w:left="1540"/>
    </w:pPr>
    <w:rPr>
      <w:rFonts w:cstheme="minorHAnsi"/>
      <w:sz w:val="20"/>
      <w:szCs w:val="20"/>
    </w:rPr>
  </w:style>
  <w:style w:type="paragraph" w:styleId="TOC9">
    <w:name w:val="toc 9"/>
    <w:basedOn w:val="Normal"/>
    <w:next w:val="Normal"/>
    <w:autoRedefine/>
    <w:uiPriority w:val="39"/>
    <w:unhideWhenUsed/>
    <w:rsid w:val="00AF5F1E"/>
    <w:pPr>
      <w:spacing w:after="0"/>
      <w:ind w:left="1760"/>
    </w:pPr>
    <w:rPr>
      <w:rFonts w:cstheme="minorHAnsi"/>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uiPriority w:val="99"/>
    <w:qFormat/>
    <w:rsid w:val="00916717"/>
    <w:pPr>
      <w:spacing w:before="100" w:after="0" w:line="240" w:lineRule="exact"/>
    </w:pPr>
    <w:rPr>
      <w:rFonts w:eastAsia="Times New Roman"/>
      <w:sz w:val="20"/>
      <w:szCs w:val="20"/>
      <w:vertAlign w:val="superscript"/>
    </w:rPr>
  </w:style>
</w:styles>
</file>

<file path=word/webSettings.xml><?xml version="1.0" encoding="utf-8"?>
<w:webSettings xmlns:r="http://schemas.openxmlformats.org/officeDocument/2006/relationships" xmlns:w="http://schemas.openxmlformats.org/wordprocessingml/2006/main">
  <w:divs>
    <w:div w:id="238373213">
      <w:bodyDiv w:val="1"/>
      <w:marLeft w:val="0"/>
      <w:marRight w:val="0"/>
      <w:marTop w:val="0"/>
      <w:marBottom w:val="0"/>
      <w:divBdr>
        <w:top w:val="none" w:sz="0" w:space="0" w:color="auto"/>
        <w:left w:val="none" w:sz="0" w:space="0" w:color="auto"/>
        <w:bottom w:val="none" w:sz="0" w:space="0" w:color="auto"/>
        <w:right w:val="none" w:sz="0" w:space="0" w:color="auto"/>
      </w:divBdr>
    </w:div>
    <w:div w:id="357319930">
      <w:bodyDiv w:val="1"/>
      <w:marLeft w:val="0"/>
      <w:marRight w:val="0"/>
      <w:marTop w:val="0"/>
      <w:marBottom w:val="0"/>
      <w:divBdr>
        <w:top w:val="none" w:sz="0" w:space="0" w:color="auto"/>
        <w:left w:val="none" w:sz="0" w:space="0" w:color="auto"/>
        <w:bottom w:val="none" w:sz="0" w:space="0" w:color="auto"/>
        <w:right w:val="none" w:sz="0" w:space="0" w:color="auto"/>
      </w:divBdr>
    </w:div>
    <w:div w:id="496961750">
      <w:bodyDiv w:val="1"/>
      <w:marLeft w:val="0"/>
      <w:marRight w:val="0"/>
      <w:marTop w:val="0"/>
      <w:marBottom w:val="0"/>
      <w:divBdr>
        <w:top w:val="none" w:sz="0" w:space="0" w:color="auto"/>
        <w:left w:val="none" w:sz="0" w:space="0" w:color="auto"/>
        <w:bottom w:val="none" w:sz="0" w:space="0" w:color="auto"/>
        <w:right w:val="none" w:sz="0" w:space="0" w:color="auto"/>
      </w:divBdr>
    </w:div>
    <w:div w:id="541744617">
      <w:bodyDiv w:val="1"/>
      <w:marLeft w:val="0"/>
      <w:marRight w:val="0"/>
      <w:marTop w:val="0"/>
      <w:marBottom w:val="0"/>
      <w:divBdr>
        <w:top w:val="none" w:sz="0" w:space="0" w:color="auto"/>
        <w:left w:val="none" w:sz="0" w:space="0" w:color="auto"/>
        <w:bottom w:val="none" w:sz="0" w:space="0" w:color="auto"/>
        <w:right w:val="none" w:sz="0" w:space="0" w:color="auto"/>
      </w:divBdr>
    </w:div>
    <w:div w:id="563762447">
      <w:bodyDiv w:val="1"/>
      <w:marLeft w:val="0"/>
      <w:marRight w:val="0"/>
      <w:marTop w:val="0"/>
      <w:marBottom w:val="0"/>
      <w:divBdr>
        <w:top w:val="none" w:sz="0" w:space="0" w:color="auto"/>
        <w:left w:val="none" w:sz="0" w:space="0" w:color="auto"/>
        <w:bottom w:val="none" w:sz="0" w:space="0" w:color="auto"/>
        <w:right w:val="none" w:sz="0" w:space="0" w:color="auto"/>
      </w:divBdr>
    </w:div>
    <w:div w:id="1328942855">
      <w:bodyDiv w:val="1"/>
      <w:marLeft w:val="0"/>
      <w:marRight w:val="0"/>
      <w:marTop w:val="0"/>
      <w:marBottom w:val="0"/>
      <w:divBdr>
        <w:top w:val="none" w:sz="0" w:space="0" w:color="auto"/>
        <w:left w:val="none" w:sz="0" w:space="0" w:color="auto"/>
        <w:bottom w:val="none" w:sz="0" w:space="0" w:color="auto"/>
        <w:right w:val="none" w:sz="0" w:space="0" w:color="auto"/>
      </w:divBdr>
    </w:div>
    <w:div w:id="1914119083">
      <w:bodyDiv w:val="1"/>
      <w:marLeft w:val="0"/>
      <w:marRight w:val="0"/>
      <w:marTop w:val="0"/>
      <w:marBottom w:val="0"/>
      <w:divBdr>
        <w:top w:val="none" w:sz="0" w:space="0" w:color="auto"/>
        <w:left w:val="none" w:sz="0" w:space="0" w:color="auto"/>
        <w:bottom w:val="none" w:sz="0" w:space="0" w:color="auto"/>
        <w:right w:val="none" w:sz="0" w:space="0" w:color="auto"/>
      </w:divBdr>
    </w:div>
    <w:div w:id="193666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Tài liệu" ma:contentTypeID="0x010100D1CE4519B702A44EBE7F6171A35F5DE1" ma:contentTypeVersion="3" ma:contentTypeDescription="Tạo tài liệu mới." ma:contentTypeScope="" ma:versionID="e5fd50b37c8a9cd33e2bf6b2896863fa">
  <xsd:schema xmlns:xsd="http://www.w3.org/2001/XMLSchema" xmlns:xs="http://www.w3.org/2001/XMLSchema" xmlns:p="http://schemas.microsoft.com/office/2006/metadata/properties" xmlns:ns2="6ac5846d-a358-4908-a658-0c33a29db4de" targetNamespace="http://schemas.microsoft.com/office/2006/metadata/properties" ma:root="true" ma:fieldsID="fbeeb1cf0dae7c3c37e3ab4c75728f59" ns2:_="">
    <xsd:import namespace="6ac5846d-a358-4908-a658-0c33a29db4de"/>
    <xsd:element name="properties">
      <xsd:complexType>
        <xsd:sequence>
          <xsd:element name="documentManagement">
            <xsd:complexType>
              <xsd:all>
                <xsd:element ref="ns2:AttachmentName"/>
                <xsd:element ref="ns2:Description0" minOccurs="0"/>
                <xsd:element ref="ns2:Content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5846d-a358-4908-a658-0c33a29db4de" elementFormDefault="qualified">
    <xsd:import namespace="http://schemas.microsoft.com/office/2006/documentManagement/types"/>
    <xsd:import namespace="http://schemas.microsoft.com/office/infopath/2007/PartnerControls"/>
    <xsd:element name="AttachmentName" ma:index="8" ma:displayName="Tên" ma:internalName="AttachmentName">
      <xsd:simpleType>
        <xsd:restriction base="dms:Text"/>
      </xsd:simpleType>
    </xsd:element>
    <xsd:element name="Description0" ma:index="9" nillable="true" ma:displayName="Description" ma:internalName="Description0">
      <xsd:simpleType>
        <xsd:restriction base="dms:Text"/>
      </xsd:simpleType>
    </xsd:element>
    <xsd:element name="ContentType0" ma:index="10" nillable="true" ma:displayName="ContentType" ma:internalName="ContentType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entType0 xmlns="6ac5846d-a358-4908-a658-0c33a29db4de" xsi:nil="true"/>
    <Description0 xmlns="6ac5846d-a358-4908-a658-0c33a29db4de" xsi:nil="true"/>
    <AttachmentName xmlns="6ac5846d-a358-4908-a658-0c33a29db4de">211103 210912 Bao cao de an 12 rui ro tai khoa dia phuong sau khi XYK - Bộ sửa.docx</AttachmentName>
  </documentManagement>
</p:properties>
</file>

<file path=customXml/itemProps1.xml><?xml version="1.0" encoding="utf-8"?>
<ds:datastoreItem xmlns:ds="http://schemas.openxmlformats.org/officeDocument/2006/customXml" ds:itemID="{94558BBA-D9EA-45B2-A95B-FE39EE09DBB0}">
  <ds:schemaRefs>
    <ds:schemaRef ds:uri="http://schemas.openxmlformats.org/officeDocument/2006/bibliography"/>
  </ds:schemaRefs>
</ds:datastoreItem>
</file>

<file path=customXml/itemProps2.xml><?xml version="1.0" encoding="utf-8"?>
<ds:datastoreItem xmlns:ds="http://schemas.openxmlformats.org/officeDocument/2006/customXml" ds:itemID="{EAD32566-61F7-47F1-9266-5F87597DD714}"/>
</file>

<file path=customXml/itemProps3.xml><?xml version="1.0" encoding="utf-8"?>
<ds:datastoreItem xmlns:ds="http://schemas.openxmlformats.org/officeDocument/2006/customXml" ds:itemID="{AE366527-660D-4447-94E5-FBCE44A0002F}"/>
</file>

<file path=customXml/itemProps4.xml><?xml version="1.0" encoding="utf-8"?>
<ds:datastoreItem xmlns:ds="http://schemas.openxmlformats.org/officeDocument/2006/customXml" ds:itemID="{B035BE90-0062-4AD4-BE4F-2A5F316117A8}"/>
</file>

<file path=docProps/app.xml><?xml version="1.0" encoding="utf-8"?>
<Properties xmlns="http://schemas.openxmlformats.org/officeDocument/2006/extended-properties" xmlns:vt="http://schemas.openxmlformats.org/officeDocument/2006/docPropsVTypes">
  <Template>Normal</Template>
  <TotalTime>2938</TotalTime>
  <Pages>41</Pages>
  <Words>15402</Words>
  <Characters>87793</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211103 210912 Bao cao de an 12 rui ro tai khoa dia phuong sau khi XYK - Bộ sửa.docx</dc:title>
  <dc:creator>nguyenthithuytrang</dc:creator>
  <cp:lastModifiedBy>danghuuphuoc</cp:lastModifiedBy>
  <cp:revision>592</cp:revision>
  <cp:lastPrinted>2021-11-19T09:53:00Z</cp:lastPrinted>
  <dcterms:created xsi:type="dcterms:W3CDTF">2021-11-04T03:20:00Z</dcterms:created>
  <dcterms:modified xsi:type="dcterms:W3CDTF">2021-11-19T10:18:00Z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0x010100D1CE4519B702A44EBE7F6171A35F5DE1</vt:lpwstr>
  </property>
</Properties>
</file>